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vertAnchor="page" w:horzAnchor="margin" w:tblpY="3631"/>
        <w:tblW w:w="0" w:type="auto"/>
        <w:tblLook w:val="04A0" w:firstRow="1" w:lastRow="0" w:firstColumn="1" w:lastColumn="0" w:noHBand="0" w:noVBand="1"/>
      </w:tblPr>
      <w:tblGrid>
        <w:gridCol w:w="4815"/>
        <w:gridCol w:w="4247"/>
      </w:tblGrid>
      <w:tr w:rsidR="004C5DE1" w:rsidRPr="008A68AC" w:rsidTr="00D33038">
        <w:tc>
          <w:tcPr>
            <w:tcW w:w="9062" w:type="dxa"/>
            <w:gridSpan w:val="2"/>
          </w:tcPr>
          <w:p w:rsidR="004C5DE1" w:rsidRPr="00515E81" w:rsidRDefault="00515E81" w:rsidP="00D33038">
            <w:pPr>
              <w:spacing w:before="240" w:after="240"/>
              <w:jc w:val="center"/>
              <w:rPr>
                <w:b/>
                <w:lang w:val="en-US"/>
              </w:rPr>
            </w:pPr>
            <w:r w:rsidRPr="00D33038">
              <w:rPr>
                <w:b/>
                <w:sz w:val="28"/>
                <w:lang w:val="en-US"/>
              </w:rPr>
              <w:t>Joint a</w:t>
            </w:r>
            <w:r w:rsidR="005A492C" w:rsidRPr="00D33038">
              <w:rPr>
                <w:b/>
                <w:sz w:val="28"/>
                <w:lang w:val="en-US"/>
              </w:rPr>
              <w:t>dvice</w:t>
            </w:r>
            <w:r w:rsidR="00060CBC" w:rsidRPr="00D33038">
              <w:rPr>
                <w:b/>
                <w:sz w:val="28"/>
                <w:lang w:val="en-US"/>
              </w:rPr>
              <w:t xml:space="preserve"> </w:t>
            </w:r>
            <w:r w:rsidRPr="00D33038">
              <w:rPr>
                <w:b/>
                <w:sz w:val="28"/>
                <w:lang w:val="en-US"/>
              </w:rPr>
              <w:t xml:space="preserve">(AAC &amp; MAC) 2017/002 of [date of adoption] </w:t>
            </w:r>
            <w:r w:rsidR="00D07242" w:rsidRPr="00D33038">
              <w:rPr>
                <w:b/>
                <w:sz w:val="28"/>
                <w:lang w:val="en-US"/>
              </w:rPr>
              <w:t>concerning</w:t>
            </w:r>
            <w:r w:rsidRPr="00D33038">
              <w:rPr>
                <w:b/>
                <w:sz w:val="28"/>
                <w:lang w:val="en-US"/>
              </w:rPr>
              <w:t xml:space="preserve"> the presence of Tetrodotoxin (TTX) in shellfish</w:t>
            </w:r>
          </w:p>
        </w:tc>
      </w:tr>
      <w:tr w:rsidR="00E756A2" w:rsidRPr="008A68AC" w:rsidTr="00E22D64">
        <w:tc>
          <w:tcPr>
            <w:tcW w:w="4815" w:type="dxa"/>
          </w:tcPr>
          <w:p w:rsidR="00E756A2" w:rsidRPr="00FB56E3" w:rsidRDefault="00E756A2" w:rsidP="00D33038">
            <w:pPr>
              <w:rPr>
                <w:b/>
              </w:rPr>
            </w:pPr>
            <w:r w:rsidRPr="00FB56E3">
              <w:rPr>
                <w:b/>
              </w:rPr>
              <w:t>Legal basis</w:t>
            </w:r>
          </w:p>
          <w:p w:rsidR="00E756A2" w:rsidRPr="00FB56E3" w:rsidRDefault="00E756A2" w:rsidP="00D33038">
            <w:pPr>
              <w:rPr>
                <w:b/>
              </w:rPr>
            </w:pPr>
            <w:r w:rsidRPr="00FB56E3">
              <w:rPr>
                <w:b/>
              </w:rPr>
              <w:t>Procedure</w:t>
            </w:r>
          </w:p>
        </w:tc>
        <w:tc>
          <w:tcPr>
            <w:tcW w:w="4247" w:type="dxa"/>
          </w:tcPr>
          <w:p w:rsidR="00E756A2" w:rsidRPr="00CE557A" w:rsidRDefault="00CE557A" w:rsidP="00D33038">
            <w:pPr>
              <w:rPr>
                <w:lang w:val="en-US"/>
              </w:rPr>
            </w:pPr>
            <w:r w:rsidRPr="00CE557A">
              <w:rPr>
                <w:lang w:val="en-US"/>
              </w:rPr>
              <w:t>Art. 44 of regulation (UE) 1380/2013</w:t>
            </w:r>
          </w:p>
          <w:p w:rsidR="00CE557A" w:rsidRPr="00CE557A" w:rsidRDefault="00CE557A" w:rsidP="00D33038">
            <w:pPr>
              <w:rPr>
                <w:lang w:val="en-US"/>
              </w:rPr>
            </w:pPr>
            <w:r>
              <w:rPr>
                <w:lang w:val="en-US"/>
              </w:rPr>
              <w:t>2.b (</w:t>
            </w:r>
            <w:r w:rsidR="00060CBC">
              <w:rPr>
                <w:lang w:val="en-US"/>
              </w:rPr>
              <w:t>initiative to EC</w:t>
            </w:r>
            <w:r>
              <w:rPr>
                <w:lang w:val="en-US"/>
              </w:rPr>
              <w:t>)</w:t>
            </w:r>
          </w:p>
        </w:tc>
      </w:tr>
      <w:tr w:rsidR="00E756A2" w:rsidRPr="00060CBC" w:rsidTr="00E22D64">
        <w:tc>
          <w:tcPr>
            <w:tcW w:w="4815" w:type="dxa"/>
          </w:tcPr>
          <w:p w:rsidR="00E756A2" w:rsidRPr="00CE557A" w:rsidRDefault="00E756A2" w:rsidP="00D33038">
            <w:pPr>
              <w:rPr>
                <w:b/>
                <w:lang w:val="en-US"/>
              </w:rPr>
            </w:pPr>
            <w:r w:rsidRPr="00CE557A">
              <w:rPr>
                <w:b/>
                <w:lang w:val="en-US"/>
              </w:rPr>
              <w:t>References / documents</w:t>
            </w:r>
          </w:p>
          <w:p w:rsidR="00FB56E3" w:rsidRPr="00CE557A" w:rsidRDefault="00FB56E3" w:rsidP="00D33038">
            <w:pPr>
              <w:rPr>
                <w:lang w:val="en-US"/>
              </w:rPr>
            </w:pPr>
          </w:p>
          <w:p w:rsidR="00FB56E3" w:rsidRPr="00CE557A" w:rsidRDefault="00FB56E3" w:rsidP="00D33038">
            <w:pPr>
              <w:rPr>
                <w:lang w:val="en-US"/>
              </w:rPr>
            </w:pPr>
          </w:p>
          <w:p w:rsidR="00E756A2" w:rsidRPr="00B10DE6" w:rsidRDefault="00FB56E3" w:rsidP="00D33038">
            <w:pPr>
              <w:rPr>
                <w:b/>
                <w:lang w:val="en-US"/>
              </w:rPr>
            </w:pPr>
            <w:r w:rsidRPr="00B10DE6">
              <w:rPr>
                <w:b/>
                <w:lang w:val="en-US"/>
              </w:rPr>
              <w:t xml:space="preserve">CELEX </w:t>
            </w:r>
            <w:r w:rsidR="00B10DE6" w:rsidRPr="00B10DE6">
              <w:rPr>
                <w:b/>
                <w:lang w:val="en-US"/>
              </w:rPr>
              <w:t xml:space="preserve">main </w:t>
            </w:r>
            <w:r w:rsidRPr="00B10DE6">
              <w:rPr>
                <w:b/>
                <w:lang w:val="en-US"/>
              </w:rPr>
              <w:t>document</w:t>
            </w:r>
          </w:p>
          <w:p w:rsidR="00E756A2" w:rsidRPr="00B10DE6" w:rsidRDefault="00E756A2" w:rsidP="00D33038">
            <w:pPr>
              <w:rPr>
                <w:b/>
                <w:lang w:val="en-US"/>
              </w:rPr>
            </w:pPr>
            <w:r w:rsidRPr="00B10DE6">
              <w:rPr>
                <w:b/>
                <w:lang w:val="en-US"/>
              </w:rPr>
              <w:t>Other ID</w:t>
            </w:r>
          </w:p>
        </w:tc>
        <w:tc>
          <w:tcPr>
            <w:tcW w:w="4247" w:type="dxa"/>
          </w:tcPr>
          <w:p w:rsidR="00E756A2" w:rsidRPr="00D33038" w:rsidRDefault="000A373F" w:rsidP="00D33038">
            <w:pPr>
              <w:rPr>
                <w:lang w:val="en-US"/>
              </w:rPr>
            </w:pPr>
            <w:hyperlink r:id="rId8" w:history="1">
              <w:r w:rsidR="00060CBC" w:rsidRPr="00D33038">
                <w:rPr>
                  <w:rStyle w:val="Lienhypertexte"/>
                  <w:color w:val="auto"/>
                  <w:szCs w:val="24"/>
                  <w:u w:val="none"/>
                  <w:lang w:val="en-US"/>
                </w:rPr>
                <w:t>European Commission, 2016. Dutch Policy Guideline on tetrodotoxin in live bivalve molluscs</w:t>
              </w:r>
            </w:hyperlink>
          </w:p>
          <w:p w:rsidR="00FB56E3" w:rsidRDefault="00060CBC" w:rsidP="00EC6C09">
            <w:pPr>
              <w:rPr>
                <w:lang w:val="en-US"/>
              </w:rPr>
            </w:pPr>
            <w:r>
              <w:rPr>
                <w:lang w:val="en-US"/>
              </w:rPr>
              <w:t>2016/175/NL</w:t>
            </w:r>
          </w:p>
          <w:p w:rsidR="00CE557A" w:rsidRPr="00B10DE6" w:rsidRDefault="00CE557A" w:rsidP="00EC6C09">
            <w:pPr>
              <w:rPr>
                <w:lang w:val="en-US"/>
              </w:rPr>
            </w:pPr>
          </w:p>
        </w:tc>
      </w:tr>
      <w:tr w:rsidR="00E756A2" w:rsidRPr="00060CBC" w:rsidTr="00E22D64">
        <w:tc>
          <w:tcPr>
            <w:tcW w:w="4815" w:type="dxa"/>
          </w:tcPr>
          <w:p w:rsidR="00E756A2" w:rsidRPr="00E756A2" w:rsidRDefault="00E756A2" w:rsidP="00D33038">
            <w:pPr>
              <w:rPr>
                <w:lang w:val="en-US"/>
              </w:rPr>
            </w:pPr>
            <w:r w:rsidRPr="00B10DE6">
              <w:rPr>
                <w:b/>
                <w:lang w:val="en-US"/>
              </w:rPr>
              <w:t>Working Group</w:t>
            </w:r>
            <w:r w:rsidRPr="00E756A2">
              <w:rPr>
                <w:lang w:val="en-US"/>
              </w:rPr>
              <w:t xml:space="preserve"> responsible</w:t>
            </w:r>
          </w:p>
          <w:p w:rsidR="00E756A2" w:rsidRPr="00B10DE6" w:rsidRDefault="00E756A2" w:rsidP="00D33038">
            <w:pPr>
              <w:rPr>
                <w:b/>
                <w:lang w:val="en-US"/>
              </w:rPr>
            </w:pPr>
            <w:r w:rsidRPr="00B10DE6">
              <w:rPr>
                <w:b/>
                <w:lang w:val="en-US"/>
              </w:rPr>
              <w:t>Rapporteur</w:t>
            </w:r>
          </w:p>
          <w:p w:rsidR="00E756A2" w:rsidRPr="00B10DE6" w:rsidRDefault="00E756A2" w:rsidP="00D33038">
            <w:pPr>
              <w:rPr>
                <w:b/>
                <w:lang w:val="en-US"/>
              </w:rPr>
            </w:pPr>
            <w:r w:rsidRPr="00B10DE6">
              <w:rPr>
                <w:b/>
                <w:lang w:val="en-US"/>
              </w:rPr>
              <w:t>Internal legal basis</w:t>
            </w:r>
          </w:p>
          <w:p w:rsidR="00E756A2" w:rsidRPr="00B10DE6" w:rsidRDefault="00E756A2" w:rsidP="00D33038">
            <w:pPr>
              <w:rPr>
                <w:b/>
                <w:lang w:val="en-US"/>
              </w:rPr>
            </w:pPr>
            <w:r w:rsidRPr="00B10DE6">
              <w:rPr>
                <w:b/>
                <w:lang w:val="en-US"/>
              </w:rPr>
              <w:t>Internal ID</w:t>
            </w:r>
          </w:p>
        </w:tc>
        <w:tc>
          <w:tcPr>
            <w:tcW w:w="4247" w:type="dxa"/>
          </w:tcPr>
          <w:p w:rsidR="00E756A2" w:rsidRDefault="00060CBC" w:rsidP="00D33038">
            <w:pPr>
              <w:rPr>
                <w:lang w:val="en-US"/>
              </w:rPr>
            </w:pPr>
            <w:r>
              <w:rPr>
                <w:lang w:val="en-US"/>
              </w:rPr>
              <w:t>Shellfish Working Group</w:t>
            </w:r>
          </w:p>
          <w:p w:rsidR="00B10DE6" w:rsidRDefault="00060CBC" w:rsidP="00EC6C09">
            <w:pPr>
              <w:rPr>
                <w:lang w:val="en-US"/>
              </w:rPr>
            </w:pPr>
            <w:r>
              <w:rPr>
                <w:lang w:val="en-US"/>
              </w:rPr>
              <w:t>Bruno Guillaumie</w:t>
            </w:r>
          </w:p>
          <w:p w:rsidR="00B10DE6" w:rsidRDefault="00B10DE6" w:rsidP="00EC6C09">
            <w:pPr>
              <w:rPr>
                <w:lang w:val="en-US"/>
              </w:rPr>
            </w:pPr>
            <w:r>
              <w:rPr>
                <w:lang w:val="en-US"/>
              </w:rPr>
              <w:t>Art</w:t>
            </w:r>
            <w:r w:rsidR="00060CBC">
              <w:rPr>
                <w:lang w:val="en-US"/>
              </w:rPr>
              <w:t xml:space="preserve">. 3 of </w:t>
            </w:r>
            <w:r w:rsidR="009B302D">
              <w:rPr>
                <w:lang w:val="en-US"/>
              </w:rPr>
              <w:t>AAC s</w:t>
            </w:r>
            <w:r w:rsidR="00060CBC">
              <w:rPr>
                <w:lang w:val="en-US"/>
              </w:rPr>
              <w:t>tatutes</w:t>
            </w:r>
            <w:r w:rsidR="009B302D">
              <w:rPr>
                <w:lang w:val="en-US"/>
              </w:rPr>
              <w:t xml:space="preserve"> and 6 of MAC statutes</w:t>
            </w:r>
          </w:p>
          <w:p w:rsidR="00B10DE6" w:rsidRPr="00E756A2" w:rsidRDefault="00060CBC" w:rsidP="00EC6C09">
            <w:pPr>
              <w:rPr>
                <w:lang w:val="en-US"/>
              </w:rPr>
            </w:pPr>
            <w:r>
              <w:rPr>
                <w:lang w:val="en-US"/>
              </w:rPr>
              <w:t>2017/002</w:t>
            </w:r>
          </w:p>
        </w:tc>
      </w:tr>
      <w:tr w:rsidR="00E756A2" w:rsidRPr="008A68AC" w:rsidTr="00E22D64">
        <w:tc>
          <w:tcPr>
            <w:tcW w:w="4815" w:type="dxa"/>
          </w:tcPr>
          <w:p w:rsidR="00E756A2" w:rsidRPr="00B10DE6" w:rsidRDefault="00E756A2" w:rsidP="00D33038">
            <w:pPr>
              <w:rPr>
                <w:b/>
                <w:lang w:val="en-US"/>
              </w:rPr>
            </w:pPr>
            <w:r w:rsidRPr="00B10DE6">
              <w:rPr>
                <w:b/>
                <w:lang w:val="en-US"/>
              </w:rPr>
              <w:t>WG Meetings / Written consultation dates</w:t>
            </w:r>
          </w:p>
          <w:p w:rsidR="00E756A2" w:rsidRPr="00E756A2" w:rsidRDefault="00823B84" w:rsidP="00D33038">
            <w:pPr>
              <w:pStyle w:val="Paragraphedeliste"/>
              <w:numPr>
                <w:ilvl w:val="0"/>
                <w:numId w:val="2"/>
              </w:numPr>
              <w:rPr>
                <w:lang w:val="en-US"/>
              </w:rPr>
            </w:pPr>
            <w:r>
              <w:rPr>
                <w:lang w:val="en-US"/>
              </w:rPr>
              <w:t>SWG meeting, 14/03/2017</w:t>
            </w:r>
          </w:p>
          <w:p w:rsidR="00E756A2" w:rsidRDefault="00823B84" w:rsidP="00D33038">
            <w:pPr>
              <w:pStyle w:val="Paragraphedeliste"/>
              <w:numPr>
                <w:ilvl w:val="0"/>
                <w:numId w:val="2"/>
              </w:numPr>
              <w:rPr>
                <w:lang w:val="en-US"/>
              </w:rPr>
            </w:pPr>
            <w:r>
              <w:rPr>
                <w:lang w:val="en-US"/>
              </w:rPr>
              <w:t>SWG meeting, 13/06/2017</w:t>
            </w:r>
          </w:p>
          <w:p w:rsidR="00E756A2" w:rsidRDefault="00E22D64" w:rsidP="00D33038">
            <w:pPr>
              <w:pStyle w:val="Paragraphedeliste"/>
              <w:numPr>
                <w:ilvl w:val="0"/>
                <w:numId w:val="2"/>
              </w:numPr>
              <w:rPr>
                <w:lang w:val="en-US"/>
              </w:rPr>
            </w:pPr>
            <w:r>
              <w:rPr>
                <w:lang w:val="en-US"/>
              </w:rPr>
              <w:t>SWG written consultation, 10</w:t>
            </w:r>
            <w:r w:rsidR="00823B84">
              <w:rPr>
                <w:lang w:val="en-US"/>
              </w:rPr>
              <w:t>/07/2017</w:t>
            </w:r>
          </w:p>
          <w:p w:rsidR="00E22D64" w:rsidRDefault="00E22D64" w:rsidP="00D33038">
            <w:pPr>
              <w:pStyle w:val="Paragraphedeliste"/>
              <w:numPr>
                <w:ilvl w:val="0"/>
                <w:numId w:val="2"/>
              </w:numPr>
              <w:rPr>
                <w:lang w:val="en-US"/>
              </w:rPr>
            </w:pPr>
            <w:r>
              <w:rPr>
                <w:lang w:val="en-US"/>
              </w:rPr>
              <w:t>SWG meeting, 10/10/2017</w:t>
            </w:r>
          </w:p>
          <w:p w:rsidR="00E22D64" w:rsidRDefault="00E22D64" w:rsidP="00D33038">
            <w:pPr>
              <w:pStyle w:val="Paragraphedeliste"/>
              <w:numPr>
                <w:ilvl w:val="0"/>
                <w:numId w:val="2"/>
              </w:numPr>
              <w:rPr>
                <w:lang w:val="en-US"/>
              </w:rPr>
            </w:pPr>
            <w:r>
              <w:rPr>
                <w:lang w:val="en-US"/>
              </w:rPr>
              <w:t>SWG meeting, 28/02/2018</w:t>
            </w:r>
          </w:p>
          <w:p w:rsidR="00E22D64" w:rsidRDefault="00E22D64" w:rsidP="00D33038">
            <w:pPr>
              <w:pStyle w:val="Paragraphedeliste"/>
              <w:numPr>
                <w:ilvl w:val="0"/>
                <w:numId w:val="2"/>
              </w:numPr>
              <w:rPr>
                <w:lang w:val="en-US"/>
              </w:rPr>
            </w:pPr>
            <w:r>
              <w:rPr>
                <w:lang w:val="en-US"/>
              </w:rPr>
              <w:t>SWG meeting, 16/05/2018</w:t>
            </w:r>
          </w:p>
          <w:p w:rsidR="00E22D64" w:rsidRDefault="00E22D64" w:rsidP="00D33038">
            <w:pPr>
              <w:pStyle w:val="Paragraphedeliste"/>
              <w:numPr>
                <w:ilvl w:val="0"/>
                <w:numId w:val="2"/>
              </w:numPr>
              <w:rPr>
                <w:lang w:val="en-US"/>
              </w:rPr>
            </w:pPr>
            <w:r>
              <w:rPr>
                <w:lang w:val="en-US"/>
              </w:rPr>
              <w:t>MAC WG3, 24/05/2018</w:t>
            </w:r>
          </w:p>
          <w:p w:rsidR="00E22D64" w:rsidRPr="00823B84" w:rsidRDefault="00E22D64" w:rsidP="00D33038">
            <w:pPr>
              <w:pStyle w:val="Paragraphedeliste"/>
              <w:numPr>
                <w:ilvl w:val="0"/>
                <w:numId w:val="2"/>
              </w:numPr>
              <w:rPr>
                <w:lang w:val="en-US"/>
              </w:rPr>
            </w:pPr>
            <w:r>
              <w:rPr>
                <w:lang w:val="en-US"/>
              </w:rPr>
              <w:t>MAC and AAC WG written consultation, June 2018</w:t>
            </w:r>
          </w:p>
        </w:tc>
        <w:tc>
          <w:tcPr>
            <w:tcW w:w="4247" w:type="dxa"/>
          </w:tcPr>
          <w:p w:rsidR="00E756A2" w:rsidRDefault="00E756A2" w:rsidP="00D33038">
            <w:pPr>
              <w:rPr>
                <w:lang w:val="en-US"/>
              </w:rPr>
            </w:pPr>
            <w:r>
              <w:rPr>
                <w:lang w:val="en-US"/>
              </w:rPr>
              <w:t>Version / revision</w:t>
            </w:r>
          </w:p>
          <w:p w:rsidR="00E756A2" w:rsidRDefault="00823B84" w:rsidP="00EC6C09">
            <w:pPr>
              <w:rPr>
                <w:lang w:val="en-US"/>
              </w:rPr>
            </w:pPr>
            <w:r>
              <w:rPr>
                <w:lang w:val="en-US"/>
              </w:rPr>
              <w:t>Second advice of EMPA v6</w:t>
            </w:r>
          </w:p>
          <w:p w:rsidR="00E756A2" w:rsidRDefault="00823B84" w:rsidP="00EC6C09">
            <w:pPr>
              <w:rPr>
                <w:lang w:val="en-US"/>
              </w:rPr>
            </w:pPr>
            <w:r>
              <w:rPr>
                <w:lang w:val="en-US"/>
              </w:rPr>
              <w:t>Third advice of EMPA v7</w:t>
            </w:r>
          </w:p>
          <w:p w:rsidR="00E756A2" w:rsidRDefault="00E22D64" w:rsidP="00EC6C09">
            <w:pPr>
              <w:rPr>
                <w:lang w:val="en-US"/>
              </w:rPr>
            </w:pPr>
            <w:r>
              <w:rPr>
                <w:lang w:val="en-US"/>
              </w:rPr>
              <w:t xml:space="preserve">Joint </w:t>
            </w:r>
            <w:r w:rsidR="00F14BF3">
              <w:rPr>
                <w:lang w:val="en-US"/>
              </w:rPr>
              <w:t>advice of AAC</w:t>
            </w:r>
            <w:r>
              <w:rPr>
                <w:lang w:val="en-US"/>
              </w:rPr>
              <w:t>-MAC</w:t>
            </w:r>
            <w:r w:rsidR="00F14BF3">
              <w:rPr>
                <w:lang w:val="en-US"/>
              </w:rPr>
              <w:t xml:space="preserve"> v1rev1</w:t>
            </w:r>
          </w:p>
          <w:p w:rsidR="00E22D64" w:rsidRDefault="00E22D64" w:rsidP="00EC6C09">
            <w:pPr>
              <w:rPr>
                <w:lang w:val="en-US"/>
              </w:rPr>
            </w:pPr>
            <w:r>
              <w:rPr>
                <w:lang w:val="en-US"/>
              </w:rPr>
              <w:t>Joint advice of AAC-MAC v1rev4</w:t>
            </w:r>
          </w:p>
          <w:p w:rsidR="00E22D64" w:rsidRDefault="00E22D64" w:rsidP="00EC6C09">
            <w:pPr>
              <w:rPr>
                <w:lang w:val="en-US"/>
              </w:rPr>
            </w:pPr>
            <w:r>
              <w:rPr>
                <w:lang w:val="en-US"/>
              </w:rPr>
              <w:t>TTX state of play</w:t>
            </w:r>
          </w:p>
          <w:p w:rsidR="00E22D64" w:rsidRDefault="00E22D64" w:rsidP="00EC6C09">
            <w:pPr>
              <w:rPr>
                <w:lang w:val="en-US"/>
              </w:rPr>
            </w:pPr>
            <w:r>
              <w:rPr>
                <w:lang w:val="en-US"/>
              </w:rPr>
              <w:t>Joint advice of AAC-MAC v2rev1</w:t>
            </w:r>
          </w:p>
          <w:p w:rsidR="00E22D64" w:rsidRDefault="00A47F54" w:rsidP="00EC6C09">
            <w:pPr>
              <w:rPr>
                <w:lang w:val="en-US"/>
              </w:rPr>
            </w:pPr>
            <w:r>
              <w:rPr>
                <w:lang w:val="en-US"/>
              </w:rPr>
              <w:t>Joint advice of AAC-MAC v2rev2</w:t>
            </w:r>
          </w:p>
          <w:p w:rsidR="00E22D64" w:rsidRPr="00E756A2" w:rsidRDefault="00A47F54" w:rsidP="00EC6C09">
            <w:pPr>
              <w:rPr>
                <w:lang w:val="en-US"/>
              </w:rPr>
            </w:pPr>
            <w:r>
              <w:rPr>
                <w:lang w:val="en-US"/>
              </w:rPr>
              <w:t>Joint advice of AAC-MAC v2rev2</w:t>
            </w:r>
          </w:p>
        </w:tc>
      </w:tr>
      <w:tr w:rsidR="00E756A2" w:rsidRPr="006E5CB7" w:rsidTr="00E22D64">
        <w:tc>
          <w:tcPr>
            <w:tcW w:w="4815" w:type="dxa"/>
          </w:tcPr>
          <w:p w:rsidR="00E756A2" w:rsidRPr="00B10DE6" w:rsidRDefault="00E756A2" w:rsidP="00D33038">
            <w:pPr>
              <w:rPr>
                <w:b/>
                <w:lang w:val="en-US"/>
              </w:rPr>
            </w:pPr>
            <w:r w:rsidRPr="00B10DE6">
              <w:rPr>
                <w:b/>
                <w:lang w:val="en-US"/>
              </w:rPr>
              <w:t>EXCOM meetings</w:t>
            </w:r>
          </w:p>
          <w:p w:rsidR="00E756A2" w:rsidRDefault="006E5CB7" w:rsidP="00D33038">
            <w:pPr>
              <w:pStyle w:val="Paragraphedeliste"/>
              <w:numPr>
                <w:ilvl w:val="0"/>
                <w:numId w:val="2"/>
              </w:numPr>
              <w:rPr>
                <w:lang w:val="en-US"/>
              </w:rPr>
            </w:pPr>
            <w:r>
              <w:rPr>
                <w:lang w:val="en-US"/>
              </w:rPr>
              <w:t xml:space="preserve">AAC </w:t>
            </w:r>
            <w:r w:rsidR="00823B84">
              <w:rPr>
                <w:lang w:val="en-US"/>
              </w:rPr>
              <w:t>06/07/2017</w:t>
            </w:r>
          </w:p>
          <w:p w:rsidR="002679E4" w:rsidRDefault="00E22D64" w:rsidP="00D33038">
            <w:pPr>
              <w:pStyle w:val="Paragraphedeliste"/>
              <w:numPr>
                <w:ilvl w:val="0"/>
                <w:numId w:val="2"/>
              </w:numPr>
              <w:rPr>
                <w:lang w:val="en-US"/>
              </w:rPr>
            </w:pPr>
            <w:r>
              <w:rPr>
                <w:lang w:val="en-US"/>
              </w:rPr>
              <w:t>AAC 13/09/2018</w:t>
            </w:r>
          </w:p>
          <w:p w:rsidR="002679E4" w:rsidRPr="00823B84" w:rsidRDefault="00E22D64" w:rsidP="00D33038">
            <w:pPr>
              <w:pStyle w:val="Paragraphedeliste"/>
              <w:numPr>
                <w:ilvl w:val="0"/>
                <w:numId w:val="2"/>
              </w:numPr>
              <w:rPr>
                <w:lang w:val="en-US"/>
              </w:rPr>
            </w:pPr>
            <w:r>
              <w:rPr>
                <w:lang w:val="en-US"/>
              </w:rPr>
              <w:t>MAC 18-19/10/2018</w:t>
            </w:r>
          </w:p>
        </w:tc>
        <w:tc>
          <w:tcPr>
            <w:tcW w:w="4247" w:type="dxa"/>
          </w:tcPr>
          <w:p w:rsidR="00E756A2" w:rsidRDefault="00E756A2" w:rsidP="00D33038">
            <w:pPr>
              <w:rPr>
                <w:lang w:val="en-US"/>
              </w:rPr>
            </w:pPr>
            <w:r>
              <w:rPr>
                <w:lang w:val="en-US"/>
              </w:rPr>
              <w:t>Version / revision / final release</w:t>
            </w:r>
          </w:p>
          <w:p w:rsidR="00E756A2" w:rsidRDefault="00823B84" w:rsidP="00EC6C09">
            <w:pPr>
              <w:rPr>
                <w:lang w:val="en-US"/>
              </w:rPr>
            </w:pPr>
            <w:r>
              <w:rPr>
                <w:lang w:val="en-US"/>
              </w:rPr>
              <w:t>State of play and provisional calendar</w:t>
            </w:r>
          </w:p>
          <w:p w:rsidR="002679E4" w:rsidRDefault="002679E4" w:rsidP="00EC6C09">
            <w:pPr>
              <w:rPr>
                <w:lang w:val="en-US"/>
              </w:rPr>
            </w:pPr>
            <w:r>
              <w:rPr>
                <w:lang w:val="en-US"/>
              </w:rPr>
              <w:t>Possible adoption?</w:t>
            </w:r>
          </w:p>
          <w:p w:rsidR="002679E4" w:rsidRPr="00E756A2" w:rsidRDefault="002679E4" w:rsidP="00EC6C09">
            <w:pPr>
              <w:rPr>
                <w:lang w:val="en-US"/>
              </w:rPr>
            </w:pPr>
            <w:r>
              <w:rPr>
                <w:lang w:val="en-US"/>
              </w:rPr>
              <w:t>Possible adoption?</w:t>
            </w:r>
          </w:p>
        </w:tc>
      </w:tr>
      <w:tr w:rsidR="004C5DE1" w:rsidRPr="00E756A2" w:rsidTr="00E22D64">
        <w:tc>
          <w:tcPr>
            <w:tcW w:w="4815" w:type="dxa"/>
          </w:tcPr>
          <w:p w:rsidR="004C5DE1" w:rsidRPr="00B10DE6" w:rsidRDefault="004C5DE1" w:rsidP="00D33038">
            <w:pPr>
              <w:rPr>
                <w:b/>
                <w:lang w:val="en-US"/>
              </w:rPr>
            </w:pPr>
            <w:r w:rsidRPr="00B10DE6">
              <w:rPr>
                <w:b/>
                <w:lang w:val="en-US"/>
              </w:rPr>
              <w:t>Notifications</w:t>
            </w:r>
          </w:p>
          <w:p w:rsidR="004C5DE1" w:rsidRDefault="004C5DE1" w:rsidP="00D33038">
            <w:pPr>
              <w:rPr>
                <w:lang w:val="en-US"/>
              </w:rPr>
            </w:pPr>
            <w:r>
              <w:rPr>
                <w:lang w:val="en-US"/>
              </w:rPr>
              <w:t>EC – DG MARE</w:t>
            </w:r>
          </w:p>
          <w:p w:rsidR="004C5DE1" w:rsidRDefault="004C5DE1" w:rsidP="00D33038">
            <w:pPr>
              <w:rPr>
                <w:lang w:val="en-US"/>
              </w:rPr>
            </w:pPr>
            <w:r>
              <w:rPr>
                <w:lang w:val="en-US"/>
              </w:rPr>
              <w:t>EC – DG SANTE</w:t>
            </w:r>
          </w:p>
          <w:p w:rsidR="004C5DE1" w:rsidRDefault="00823B84" w:rsidP="00D33038">
            <w:pPr>
              <w:rPr>
                <w:lang w:val="en-US"/>
              </w:rPr>
            </w:pPr>
            <w:r>
              <w:rPr>
                <w:lang w:val="en-US"/>
              </w:rPr>
              <w:t>The Netherland</w:t>
            </w:r>
            <w:r w:rsidR="00E22D64">
              <w:rPr>
                <w:lang w:val="en-US"/>
              </w:rPr>
              <w:t>s</w:t>
            </w:r>
          </w:p>
          <w:p w:rsidR="004C5DE1" w:rsidRDefault="004C5DE1" w:rsidP="00D33038">
            <w:pPr>
              <w:rPr>
                <w:lang w:val="en-US"/>
              </w:rPr>
            </w:pPr>
          </w:p>
        </w:tc>
        <w:tc>
          <w:tcPr>
            <w:tcW w:w="4247" w:type="dxa"/>
          </w:tcPr>
          <w:p w:rsidR="004C5DE1" w:rsidRDefault="004C5DE1" w:rsidP="00EC6C09">
            <w:pPr>
              <w:rPr>
                <w:lang w:val="en-US"/>
              </w:rPr>
            </w:pPr>
          </w:p>
          <w:p w:rsidR="00B10DE6" w:rsidRDefault="00B10DE6" w:rsidP="00EC6C09">
            <w:pPr>
              <w:rPr>
                <w:lang w:val="en-US"/>
              </w:rPr>
            </w:pPr>
            <w:r>
              <w:rPr>
                <w:lang w:val="en-US"/>
              </w:rPr>
              <w:t>[date]</w:t>
            </w:r>
          </w:p>
          <w:p w:rsidR="00B10DE6" w:rsidRDefault="00B10DE6" w:rsidP="00EC6C09">
            <w:pPr>
              <w:rPr>
                <w:lang w:val="en-US"/>
              </w:rPr>
            </w:pPr>
            <w:r>
              <w:rPr>
                <w:lang w:val="en-US"/>
              </w:rPr>
              <w:t>[date]</w:t>
            </w:r>
          </w:p>
          <w:p w:rsidR="00B10DE6" w:rsidRDefault="00823B84" w:rsidP="00EC6C09">
            <w:pPr>
              <w:rPr>
                <w:lang w:val="en-US"/>
              </w:rPr>
            </w:pPr>
            <w:r>
              <w:rPr>
                <w:lang w:val="en-US"/>
              </w:rPr>
              <w:t>[date]</w:t>
            </w:r>
          </w:p>
        </w:tc>
      </w:tr>
      <w:tr w:rsidR="004C5DE1" w:rsidRPr="00E22D64" w:rsidTr="00D33038">
        <w:tc>
          <w:tcPr>
            <w:tcW w:w="9062" w:type="dxa"/>
            <w:gridSpan w:val="2"/>
          </w:tcPr>
          <w:p w:rsidR="004C5DE1" w:rsidRPr="00B10DE6" w:rsidRDefault="004C5DE1" w:rsidP="00D33038">
            <w:pPr>
              <w:rPr>
                <w:b/>
                <w:lang w:val="en-US"/>
              </w:rPr>
            </w:pPr>
            <w:r w:rsidRPr="00B10DE6">
              <w:rPr>
                <w:b/>
                <w:lang w:val="en-US"/>
              </w:rPr>
              <w:t>Follow up and comment received</w:t>
            </w:r>
          </w:p>
          <w:p w:rsidR="00B10DE6" w:rsidRDefault="00B10DE6" w:rsidP="00D33038">
            <w:pPr>
              <w:rPr>
                <w:lang w:val="en-US"/>
              </w:rPr>
            </w:pPr>
          </w:p>
          <w:p w:rsidR="00B10DE6" w:rsidRDefault="00B10DE6" w:rsidP="00D33038">
            <w:pPr>
              <w:rPr>
                <w:lang w:val="en-US"/>
              </w:rPr>
            </w:pPr>
          </w:p>
          <w:p w:rsidR="00B10DE6" w:rsidRDefault="00B10DE6" w:rsidP="00EC6C09">
            <w:pPr>
              <w:rPr>
                <w:lang w:val="en-US"/>
              </w:rPr>
            </w:pPr>
          </w:p>
          <w:p w:rsidR="00B10DE6" w:rsidRDefault="00B10DE6" w:rsidP="00EC6C09">
            <w:pPr>
              <w:rPr>
                <w:lang w:val="en-US"/>
              </w:rPr>
            </w:pPr>
          </w:p>
          <w:p w:rsidR="00B10DE6" w:rsidRDefault="00B10DE6" w:rsidP="00EC6C09">
            <w:pPr>
              <w:rPr>
                <w:lang w:val="en-US"/>
              </w:rPr>
            </w:pPr>
          </w:p>
          <w:p w:rsidR="00B10DE6" w:rsidRDefault="00B10DE6" w:rsidP="00EC6C09">
            <w:pPr>
              <w:rPr>
                <w:lang w:val="en-US"/>
              </w:rPr>
            </w:pPr>
          </w:p>
          <w:p w:rsidR="00B10DE6" w:rsidRDefault="00B10DE6" w:rsidP="00EC6C09">
            <w:pPr>
              <w:rPr>
                <w:lang w:val="en-US"/>
              </w:rPr>
            </w:pPr>
          </w:p>
        </w:tc>
      </w:tr>
    </w:tbl>
    <w:p w:rsidR="00D33038" w:rsidRDefault="00D33038">
      <w:pPr>
        <w:rPr>
          <w:lang w:val="en-US"/>
        </w:rPr>
      </w:pPr>
    </w:p>
    <w:p w:rsidR="00D33038" w:rsidRPr="00FF1FEB" w:rsidRDefault="00E22D64" w:rsidP="00E22D64">
      <w:pPr>
        <w:rPr>
          <w:b/>
          <w:color w:val="000000"/>
          <w:sz w:val="26"/>
          <w:szCs w:val="26"/>
          <w:lang w:val="en-US"/>
        </w:rPr>
      </w:pPr>
      <w:r>
        <w:rPr>
          <w:b/>
          <w:color w:val="000000"/>
          <w:sz w:val="26"/>
          <w:szCs w:val="26"/>
          <w:lang w:val="en-US"/>
        </w:rPr>
        <w:t>Background</w:t>
      </w:r>
    </w:p>
    <w:p w:rsidR="0043214F" w:rsidRDefault="004C283A" w:rsidP="0052207E">
      <w:pPr>
        <w:autoSpaceDE w:val="0"/>
        <w:autoSpaceDN w:val="0"/>
        <w:adjustRightInd w:val="0"/>
        <w:spacing w:line="240" w:lineRule="auto"/>
        <w:ind w:firstLine="708"/>
        <w:jc w:val="both"/>
        <w:rPr>
          <w:color w:val="000000"/>
          <w:sz w:val="26"/>
          <w:szCs w:val="26"/>
          <w:lang w:val="en-US"/>
        </w:rPr>
      </w:pPr>
      <w:r>
        <w:rPr>
          <w:color w:val="000000"/>
          <w:sz w:val="26"/>
          <w:szCs w:val="26"/>
          <w:lang w:val="en-US"/>
        </w:rPr>
        <w:t xml:space="preserve">The </w:t>
      </w:r>
      <w:r w:rsidR="00A00E35">
        <w:rPr>
          <w:color w:val="000000"/>
          <w:sz w:val="26"/>
          <w:szCs w:val="26"/>
          <w:lang w:val="en-US"/>
        </w:rPr>
        <w:t xml:space="preserve">TTX is a potent neurotoxin that is found in </w:t>
      </w:r>
      <w:r w:rsidR="002F38A2">
        <w:rPr>
          <w:color w:val="000000"/>
          <w:sz w:val="26"/>
          <w:szCs w:val="26"/>
          <w:lang w:val="en-US"/>
        </w:rPr>
        <w:t xml:space="preserve">organs of </w:t>
      </w:r>
      <w:r w:rsidR="00A00E35">
        <w:rPr>
          <w:color w:val="000000"/>
          <w:sz w:val="26"/>
          <w:szCs w:val="26"/>
          <w:lang w:val="en-US"/>
        </w:rPr>
        <w:t xml:space="preserve">a variety of marine </w:t>
      </w:r>
      <w:r w:rsidR="00AA77B6">
        <w:rPr>
          <w:color w:val="000000"/>
          <w:sz w:val="26"/>
          <w:szCs w:val="26"/>
          <w:lang w:val="en-US"/>
        </w:rPr>
        <w:t xml:space="preserve">species </w:t>
      </w:r>
      <w:r w:rsidR="00A00E35">
        <w:rPr>
          <w:color w:val="000000"/>
          <w:sz w:val="26"/>
          <w:szCs w:val="26"/>
          <w:lang w:val="en-US"/>
        </w:rPr>
        <w:t>and a</w:t>
      </w:r>
      <w:r w:rsidR="00CB6EAC">
        <w:rPr>
          <w:color w:val="000000"/>
          <w:sz w:val="26"/>
          <w:szCs w:val="26"/>
          <w:lang w:val="en-US"/>
        </w:rPr>
        <w:t>lso in some terrestrial species</w:t>
      </w:r>
      <w:r w:rsidR="00022BF8">
        <w:rPr>
          <w:color w:val="000000"/>
          <w:sz w:val="26"/>
          <w:szCs w:val="26"/>
          <w:lang w:val="en-US"/>
        </w:rPr>
        <w:t xml:space="preserve"> [1]</w:t>
      </w:r>
      <w:r w:rsidR="00CB6EAC">
        <w:rPr>
          <w:color w:val="000000"/>
          <w:sz w:val="26"/>
          <w:szCs w:val="26"/>
          <w:lang w:val="en-US"/>
        </w:rPr>
        <w:t xml:space="preserve"> and </w:t>
      </w:r>
      <w:r w:rsidR="00022BF8">
        <w:rPr>
          <w:color w:val="000000"/>
          <w:sz w:val="26"/>
          <w:szCs w:val="26"/>
          <w:lang w:val="en-US"/>
        </w:rPr>
        <w:t xml:space="preserve">is </w:t>
      </w:r>
      <w:r w:rsidR="00CB6EAC">
        <w:rPr>
          <w:color w:val="000000"/>
          <w:sz w:val="26"/>
          <w:szCs w:val="26"/>
          <w:lang w:val="en-US"/>
        </w:rPr>
        <w:t>responsible for the highest fatality rat</w:t>
      </w:r>
      <w:r w:rsidR="000B5DE5">
        <w:rPr>
          <w:color w:val="000000"/>
          <w:sz w:val="26"/>
          <w:szCs w:val="26"/>
          <w:lang w:val="en-US"/>
        </w:rPr>
        <w:t>e of all marine intoxications [2</w:t>
      </w:r>
      <w:r w:rsidR="00CB6EAC">
        <w:rPr>
          <w:color w:val="000000"/>
          <w:sz w:val="26"/>
          <w:szCs w:val="26"/>
          <w:lang w:val="en-US"/>
        </w:rPr>
        <w:t>]</w:t>
      </w:r>
      <w:r w:rsidR="00022BF8">
        <w:rPr>
          <w:color w:val="000000"/>
          <w:sz w:val="26"/>
          <w:szCs w:val="26"/>
          <w:lang w:val="en-US"/>
        </w:rPr>
        <w:t>.</w:t>
      </w:r>
      <w:r w:rsidR="00A00E35">
        <w:rPr>
          <w:color w:val="000000"/>
          <w:sz w:val="26"/>
          <w:szCs w:val="26"/>
          <w:lang w:val="en-US"/>
        </w:rPr>
        <w:t xml:space="preserve"> Over 20 species of puffer fish or </w:t>
      </w:r>
      <w:r w:rsidR="00A00E35" w:rsidRPr="00A00E35">
        <w:rPr>
          <w:i/>
          <w:color w:val="000000"/>
          <w:sz w:val="26"/>
          <w:szCs w:val="26"/>
          <w:lang w:val="en-US"/>
        </w:rPr>
        <w:t>fugu</w:t>
      </w:r>
      <w:r w:rsidR="00A00E35">
        <w:rPr>
          <w:color w:val="000000"/>
          <w:sz w:val="26"/>
          <w:szCs w:val="26"/>
          <w:lang w:val="en-US"/>
        </w:rPr>
        <w:t xml:space="preserve"> have been found to </w:t>
      </w:r>
      <w:r w:rsidR="00A47F54">
        <w:rPr>
          <w:color w:val="000000"/>
          <w:sz w:val="26"/>
          <w:szCs w:val="26"/>
          <w:lang w:val="en-US"/>
        </w:rPr>
        <w:t>harbor</w:t>
      </w:r>
      <w:r w:rsidR="00A00E35">
        <w:rPr>
          <w:color w:val="000000"/>
          <w:sz w:val="26"/>
          <w:szCs w:val="26"/>
          <w:lang w:val="en-US"/>
        </w:rPr>
        <w:t xml:space="preserve"> the toxin especially in the liver, ovaries and skin. Besides puffer fish, other species known to </w:t>
      </w:r>
      <w:r w:rsidR="00A47F54">
        <w:rPr>
          <w:color w:val="000000"/>
          <w:sz w:val="26"/>
          <w:szCs w:val="26"/>
          <w:lang w:val="en-US"/>
        </w:rPr>
        <w:t>harbor</w:t>
      </w:r>
      <w:r w:rsidR="00A00E35">
        <w:rPr>
          <w:color w:val="000000"/>
          <w:sz w:val="26"/>
          <w:szCs w:val="26"/>
          <w:lang w:val="en-US"/>
        </w:rPr>
        <w:t xml:space="preserve"> </w:t>
      </w:r>
      <w:r>
        <w:rPr>
          <w:color w:val="000000"/>
          <w:sz w:val="26"/>
          <w:szCs w:val="26"/>
          <w:lang w:val="en-US"/>
        </w:rPr>
        <w:t xml:space="preserve">TTX </w:t>
      </w:r>
      <w:r w:rsidR="00A47F54">
        <w:rPr>
          <w:color w:val="000000"/>
          <w:sz w:val="26"/>
          <w:szCs w:val="26"/>
          <w:lang w:val="en-US"/>
        </w:rPr>
        <w:t>include:</w:t>
      </w:r>
      <w:r>
        <w:rPr>
          <w:color w:val="000000"/>
          <w:sz w:val="26"/>
          <w:szCs w:val="26"/>
          <w:lang w:val="en-US"/>
        </w:rPr>
        <w:t xml:space="preserve"> gast</w:t>
      </w:r>
      <w:r w:rsidR="00A00E35">
        <w:rPr>
          <w:color w:val="000000"/>
          <w:sz w:val="26"/>
          <w:szCs w:val="26"/>
          <w:lang w:val="en-US"/>
        </w:rPr>
        <w:t>ropods, newts, crabs, frogs, sea slugs, sta</w:t>
      </w:r>
      <w:r>
        <w:rPr>
          <w:color w:val="000000"/>
          <w:sz w:val="26"/>
          <w:szCs w:val="26"/>
          <w:lang w:val="en-US"/>
        </w:rPr>
        <w:t>r</w:t>
      </w:r>
      <w:r w:rsidR="00A00E35">
        <w:rPr>
          <w:color w:val="000000"/>
          <w:sz w:val="26"/>
          <w:szCs w:val="26"/>
          <w:lang w:val="en-US"/>
        </w:rPr>
        <w:t xml:space="preserve"> fishes, </w:t>
      </w:r>
      <w:r w:rsidR="00A00E35" w:rsidRPr="00752239">
        <w:rPr>
          <w:color w:val="000000"/>
          <w:sz w:val="26"/>
          <w:szCs w:val="26"/>
          <w:lang w:val="en-US"/>
        </w:rPr>
        <w:t>blue-ringed octopuses, ribbon worms and bacteria. The di</w:t>
      </w:r>
      <w:r w:rsidRPr="00752239">
        <w:rPr>
          <w:color w:val="000000"/>
          <w:sz w:val="26"/>
          <w:szCs w:val="26"/>
          <w:lang w:val="en-US"/>
        </w:rPr>
        <w:t xml:space="preserve">stribution of TTX and its analogues </w:t>
      </w:r>
      <w:r w:rsidR="00752239" w:rsidRPr="00752239">
        <w:rPr>
          <w:color w:val="000000"/>
          <w:sz w:val="26"/>
          <w:szCs w:val="26"/>
          <w:lang w:val="en-US"/>
        </w:rPr>
        <w:t xml:space="preserve">(there are 26 naturally occurring analogues of TTX) </w:t>
      </w:r>
      <w:r w:rsidRPr="00752239">
        <w:rPr>
          <w:color w:val="000000"/>
          <w:sz w:val="26"/>
          <w:szCs w:val="26"/>
          <w:lang w:val="en-US"/>
        </w:rPr>
        <w:t>are known to be organism and</w:t>
      </w:r>
      <w:r>
        <w:rPr>
          <w:color w:val="000000"/>
          <w:sz w:val="26"/>
          <w:szCs w:val="26"/>
          <w:lang w:val="en-US"/>
        </w:rPr>
        <w:t>/or tissue specific</w:t>
      </w:r>
      <w:r w:rsidR="0043214F">
        <w:rPr>
          <w:color w:val="000000"/>
          <w:sz w:val="26"/>
          <w:szCs w:val="26"/>
          <w:lang w:val="en-US"/>
        </w:rPr>
        <w:t xml:space="preserve"> [1]</w:t>
      </w:r>
      <w:r>
        <w:rPr>
          <w:color w:val="000000"/>
          <w:sz w:val="26"/>
          <w:szCs w:val="26"/>
          <w:lang w:val="en-US"/>
        </w:rPr>
        <w:t xml:space="preserve">. </w:t>
      </w:r>
    </w:p>
    <w:p w:rsidR="004C283A" w:rsidRDefault="004C283A" w:rsidP="0043214F">
      <w:pPr>
        <w:autoSpaceDE w:val="0"/>
        <w:autoSpaceDN w:val="0"/>
        <w:adjustRightInd w:val="0"/>
        <w:spacing w:line="240" w:lineRule="auto"/>
        <w:jc w:val="both"/>
        <w:rPr>
          <w:color w:val="000000"/>
          <w:sz w:val="26"/>
          <w:szCs w:val="26"/>
          <w:lang w:val="en-US"/>
        </w:rPr>
      </w:pPr>
      <w:r>
        <w:rPr>
          <w:color w:val="000000"/>
          <w:sz w:val="26"/>
          <w:szCs w:val="26"/>
          <w:lang w:val="en-US"/>
        </w:rPr>
        <w:t>It has been demonstrated that TTX</w:t>
      </w:r>
      <w:r w:rsidR="00E22D64">
        <w:rPr>
          <w:color w:val="000000"/>
          <w:sz w:val="26"/>
          <w:szCs w:val="26"/>
          <w:lang w:val="en-US"/>
        </w:rPr>
        <w:t xml:space="preserve"> and its</w:t>
      </w:r>
      <w:r w:rsidR="0077682B">
        <w:rPr>
          <w:color w:val="000000"/>
          <w:sz w:val="26"/>
          <w:szCs w:val="26"/>
          <w:lang w:val="en-US"/>
        </w:rPr>
        <w:t xml:space="preserve"> analogues</w:t>
      </w:r>
      <w:r w:rsidR="00AC63A8">
        <w:rPr>
          <w:color w:val="000000"/>
          <w:sz w:val="26"/>
          <w:szCs w:val="26"/>
          <w:lang w:val="en-US"/>
        </w:rPr>
        <w:t xml:space="preserve"> in marine species are</w:t>
      </w:r>
      <w:r>
        <w:rPr>
          <w:color w:val="000000"/>
          <w:sz w:val="26"/>
          <w:szCs w:val="26"/>
          <w:lang w:val="en-US"/>
        </w:rPr>
        <w:t xml:space="preserve"> </w:t>
      </w:r>
      <w:r w:rsidR="00AC63A8">
        <w:rPr>
          <w:color w:val="000000"/>
          <w:sz w:val="26"/>
          <w:szCs w:val="26"/>
          <w:lang w:val="en-US"/>
        </w:rPr>
        <w:t xml:space="preserve">produced by a wide range of host-associated bacteria species, such as </w:t>
      </w:r>
      <w:r w:rsidR="0077682B" w:rsidRPr="00AC63A8">
        <w:rPr>
          <w:i/>
          <w:color w:val="000000"/>
          <w:sz w:val="26"/>
          <w:szCs w:val="26"/>
          <w:lang w:val="en-US"/>
        </w:rPr>
        <w:t>Vibrio</w:t>
      </w:r>
      <w:r w:rsidR="0077682B">
        <w:rPr>
          <w:color w:val="000000"/>
          <w:sz w:val="26"/>
          <w:szCs w:val="26"/>
          <w:lang w:val="en-US"/>
        </w:rPr>
        <w:t>,</w:t>
      </w:r>
      <w:r w:rsidR="0043214F">
        <w:rPr>
          <w:color w:val="000000"/>
          <w:sz w:val="26"/>
          <w:szCs w:val="26"/>
          <w:lang w:val="en-US"/>
        </w:rPr>
        <w:t xml:space="preserve"> </w:t>
      </w:r>
      <w:r w:rsidR="0043214F" w:rsidRPr="00AC63A8">
        <w:rPr>
          <w:i/>
          <w:color w:val="000000"/>
          <w:sz w:val="26"/>
          <w:szCs w:val="26"/>
          <w:lang w:val="en-US"/>
        </w:rPr>
        <w:t>Bacillus</w:t>
      </w:r>
      <w:r w:rsidR="0043214F">
        <w:rPr>
          <w:color w:val="000000"/>
          <w:sz w:val="26"/>
          <w:szCs w:val="26"/>
          <w:lang w:val="en-US"/>
        </w:rPr>
        <w:t xml:space="preserve">, </w:t>
      </w:r>
      <w:r w:rsidR="0043214F" w:rsidRPr="00AC63A8">
        <w:rPr>
          <w:i/>
          <w:color w:val="000000"/>
          <w:sz w:val="26"/>
          <w:szCs w:val="26"/>
          <w:lang w:val="en-US"/>
        </w:rPr>
        <w:t>Aeromonas</w:t>
      </w:r>
      <w:r w:rsidR="0043214F">
        <w:rPr>
          <w:color w:val="000000"/>
          <w:sz w:val="26"/>
          <w:szCs w:val="26"/>
          <w:lang w:val="en-US"/>
        </w:rPr>
        <w:t xml:space="preserve">, </w:t>
      </w:r>
      <w:r w:rsidR="0043214F" w:rsidRPr="00AC63A8">
        <w:rPr>
          <w:i/>
          <w:color w:val="000000"/>
          <w:sz w:val="26"/>
          <w:szCs w:val="26"/>
          <w:lang w:val="en-US"/>
        </w:rPr>
        <w:t>Shewanella</w:t>
      </w:r>
      <w:r w:rsidR="0043214F">
        <w:rPr>
          <w:color w:val="000000"/>
          <w:sz w:val="26"/>
          <w:szCs w:val="26"/>
          <w:lang w:val="en-US"/>
        </w:rPr>
        <w:t xml:space="preserve">, </w:t>
      </w:r>
      <w:r w:rsidR="0043214F" w:rsidRPr="00AC63A8">
        <w:rPr>
          <w:i/>
          <w:color w:val="000000"/>
          <w:sz w:val="26"/>
          <w:szCs w:val="26"/>
          <w:lang w:val="en-US"/>
        </w:rPr>
        <w:t>Alteromonas</w:t>
      </w:r>
      <w:r w:rsidR="0043214F">
        <w:rPr>
          <w:color w:val="000000"/>
          <w:sz w:val="26"/>
          <w:szCs w:val="26"/>
          <w:lang w:val="en-US"/>
        </w:rPr>
        <w:t xml:space="preserve"> and </w:t>
      </w:r>
      <w:r w:rsidR="0043214F" w:rsidRPr="00AC63A8">
        <w:rPr>
          <w:i/>
          <w:color w:val="000000"/>
          <w:sz w:val="26"/>
          <w:szCs w:val="26"/>
          <w:lang w:val="en-US"/>
        </w:rPr>
        <w:t>Pseudomonas</w:t>
      </w:r>
      <w:r w:rsidR="00AC63A8">
        <w:rPr>
          <w:color w:val="000000"/>
          <w:sz w:val="26"/>
          <w:szCs w:val="26"/>
          <w:lang w:val="en-US"/>
        </w:rPr>
        <w:t>, which</w:t>
      </w:r>
      <w:r>
        <w:rPr>
          <w:color w:val="000000"/>
          <w:sz w:val="26"/>
          <w:szCs w:val="26"/>
          <w:lang w:val="en-US"/>
        </w:rPr>
        <w:t xml:space="preserve"> n</w:t>
      </w:r>
      <w:r w:rsidR="00AC63A8">
        <w:rPr>
          <w:color w:val="000000"/>
          <w:sz w:val="26"/>
          <w:szCs w:val="26"/>
          <w:lang w:val="en-US"/>
        </w:rPr>
        <w:t>aturally inhabit</w:t>
      </w:r>
      <w:r>
        <w:rPr>
          <w:color w:val="000000"/>
          <w:sz w:val="26"/>
          <w:szCs w:val="26"/>
          <w:lang w:val="en-US"/>
        </w:rPr>
        <w:t xml:space="preserve"> the gut of the animals</w:t>
      </w:r>
      <w:r w:rsidR="00093062">
        <w:rPr>
          <w:color w:val="000000"/>
          <w:sz w:val="26"/>
          <w:szCs w:val="26"/>
          <w:lang w:val="en-US"/>
        </w:rPr>
        <w:t xml:space="preserve"> [1</w:t>
      </w:r>
      <w:r w:rsidR="000B5DE5">
        <w:rPr>
          <w:color w:val="000000"/>
          <w:sz w:val="26"/>
          <w:szCs w:val="26"/>
          <w:lang w:val="en-US"/>
        </w:rPr>
        <w:t>, 3</w:t>
      </w:r>
      <w:r w:rsidR="00AC63A8">
        <w:rPr>
          <w:color w:val="000000"/>
          <w:sz w:val="26"/>
          <w:szCs w:val="26"/>
          <w:lang w:val="en-US"/>
        </w:rPr>
        <w:t>]</w:t>
      </w:r>
      <w:r>
        <w:rPr>
          <w:color w:val="000000"/>
          <w:sz w:val="26"/>
          <w:szCs w:val="26"/>
          <w:lang w:val="en-US"/>
        </w:rPr>
        <w:t>.</w:t>
      </w:r>
      <w:r w:rsidR="00A44D99">
        <w:rPr>
          <w:color w:val="000000"/>
          <w:sz w:val="26"/>
          <w:szCs w:val="26"/>
          <w:lang w:val="en-US"/>
        </w:rPr>
        <w:t xml:space="preserve"> A correlation between TTX occurrence in shellfish and the prevalence of </w:t>
      </w:r>
      <w:r w:rsidR="00A44D99" w:rsidRPr="00A44D99">
        <w:rPr>
          <w:i/>
          <w:color w:val="000000"/>
          <w:sz w:val="26"/>
          <w:szCs w:val="26"/>
          <w:lang w:val="en-US"/>
        </w:rPr>
        <w:t>Prorocentrum minutum</w:t>
      </w:r>
      <w:r w:rsidR="00A44D99">
        <w:rPr>
          <w:color w:val="000000"/>
          <w:sz w:val="26"/>
          <w:szCs w:val="26"/>
          <w:lang w:val="en-US"/>
        </w:rPr>
        <w:t xml:space="preserve"> in seawaters has been noted [</w:t>
      </w:r>
      <w:r w:rsidR="000B5DE5">
        <w:rPr>
          <w:color w:val="000000"/>
          <w:sz w:val="26"/>
          <w:szCs w:val="26"/>
          <w:lang w:val="en-US"/>
        </w:rPr>
        <w:t>4</w:t>
      </w:r>
      <w:r w:rsidR="00A44D99">
        <w:rPr>
          <w:color w:val="000000"/>
          <w:sz w:val="26"/>
          <w:szCs w:val="26"/>
          <w:lang w:val="en-US"/>
        </w:rPr>
        <w:t xml:space="preserve">] and TTX-like compounds were also found in </w:t>
      </w:r>
      <w:r w:rsidR="00A44D99" w:rsidRPr="00A44D99">
        <w:rPr>
          <w:i/>
          <w:color w:val="000000"/>
          <w:sz w:val="26"/>
          <w:szCs w:val="26"/>
          <w:lang w:val="en-US"/>
        </w:rPr>
        <w:t>P.</w:t>
      </w:r>
      <w:r w:rsidR="00A44D99">
        <w:rPr>
          <w:color w:val="000000"/>
          <w:sz w:val="26"/>
          <w:szCs w:val="26"/>
          <w:lang w:val="en-US"/>
        </w:rPr>
        <w:t xml:space="preserve"> </w:t>
      </w:r>
      <w:r w:rsidR="00A44D99" w:rsidRPr="00A44D99">
        <w:rPr>
          <w:i/>
          <w:color w:val="000000"/>
          <w:sz w:val="26"/>
          <w:szCs w:val="26"/>
          <w:lang w:val="en-US"/>
        </w:rPr>
        <w:t>minutum</w:t>
      </w:r>
      <w:r w:rsidR="00A44D99">
        <w:rPr>
          <w:color w:val="000000"/>
          <w:sz w:val="26"/>
          <w:szCs w:val="26"/>
          <w:lang w:val="en-US"/>
        </w:rPr>
        <w:t xml:space="preserve"> cultures</w:t>
      </w:r>
      <w:r w:rsidR="000B5DE5">
        <w:rPr>
          <w:color w:val="000000"/>
          <w:sz w:val="26"/>
          <w:szCs w:val="26"/>
          <w:lang w:val="en-US"/>
        </w:rPr>
        <w:t xml:space="preserve"> [5</w:t>
      </w:r>
      <w:r w:rsidR="00A44D99">
        <w:rPr>
          <w:color w:val="000000"/>
          <w:sz w:val="26"/>
          <w:szCs w:val="26"/>
          <w:lang w:val="en-US"/>
        </w:rPr>
        <w:t>].</w:t>
      </w:r>
      <w:r>
        <w:rPr>
          <w:color w:val="000000"/>
          <w:sz w:val="26"/>
          <w:szCs w:val="26"/>
          <w:lang w:val="en-US"/>
        </w:rPr>
        <w:t xml:space="preserve"> </w:t>
      </w:r>
    </w:p>
    <w:p w:rsidR="00884154" w:rsidRPr="000C658C" w:rsidRDefault="004C283A" w:rsidP="0052207E">
      <w:pPr>
        <w:autoSpaceDE w:val="0"/>
        <w:autoSpaceDN w:val="0"/>
        <w:adjustRightInd w:val="0"/>
        <w:spacing w:line="240" w:lineRule="auto"/>
        <w:jc w:val="both"/>
        <w:rPr>
          <w:color w:val="000000"/>
          <w:sz w:val="26"/>
          <w:szCs w:val="26"/>
          <w:lang w:val="en-US"/>
        </w:rPr>
      </w:pPr>
      <w:r>
        <w:rPr>
          <w:color w:val="000000"/>
          <w:sz w:val="26"/>
          <w:szCs w:val="26"/>
          <w:lang w:val="en-US"/>
        </w:rPr>
        <w:t>This toxin is a sodium channel blocker. It binds to the sodium channels of the excitable tissues of the victim (muscles and nerves) and immobilizes these tissues</w:t>
      </w:r>
      <w:r w:rsidR="000B5DE5">
        <w:rPr>
          <w:color w:val="000000"/>
          <w:sz w:val="26"/>
          <w:szCs w:val="26"/>
          <w:lang w:val="en-US"/>
        </w:rPr>
        <w:t xml:space="preserve"> [1]</w:t>
      </w:r>
      <w:r>
        <w:rPr>
          <w:color w:val="000000"/>
          <w:sz w:val="26"/>
          <w:szCs w:val="26"/>
          <w:lang w:val="en-US"/>
        </w:rPr>
        <w:t>. In humans</w:t>
      </w:r>
      <w:r w:rsidR="000C658C">
        <w:rPr>
          <w:color w:val="000000"/>
          <w:sz w:val="26"/>
          <w:szCs w:val="26"/>
          <w:lang w:val="en-US"/>
        </w:rPr>
        <w:t>,</w:t>
      </w:r>
      <w:r>
        <w:rPr>
          <w:color w:val="000000"/>
          <w:sz w:val="26"/>
          <w:szCs w:val="26"/>
          <w:lang w:val="en-US"/>
        </w:rPr>
        <w:t xml:space="preserve"> the onset and severity of the symptoms of TTX poisoning after ingestion is dose dependent.</w:t>
      </w:r>
      <w:r w:rsidRPr="004C283A">
        <w:rPr>
          <w:color w:val="000000"/>
          <w:sz w:val="26"/>
          <w:szCs w:val="26"/>
          <w:lang w:val="en-US"/>
        </w:rPr>
        <w:t xml:space="preserve"> Initial symptoms include tingling (paresthesias) of the tongue and lips, followed by or concurrent with headache and vomiting, which may progress to muscle weakness and ataxia</w:t>
      </w:r>
      <w:r w:rsidR="000B5DE5">
        <w:rPr>
          <w:color w:val="000000"/>
          <w:sz w:val="26"/>
          <w:szCs w:val="26"/>
          <w:lang w:val="en-US"/>
        </w:rPr>
        <w:t xml:space="preserve"> [1]</w:t>
      </w:r>
      <w:r w:rsidRPr="004C283A">
        <w:rPr>
          <w:color w:val="000000"/>
          <w:sz w:val="26"/>
          <w:szCs w:val="26"/>
          <w:lang w:val="en-US"/>
        </w:rPr>
        <w:t>. In severe cases</w:t>
      </w:r>
      <w:r w:rsidR="000C658C">
        <w:rPr>
          <w:color w:val="000000"/>
          <w:sz w:val="26"/>
          <w:szCs w:val="26"/>
          <w:lang w:val="en-US"/>
        </w:rPr>
        <w:t>,</w:t>
      </w:r>
      <w:r w:rsidRPr="004C283A">
        <w:rPr>
          <w:color w:val="000000"/>
          <w:sz w:val="26"/>
          <w:szCs w:val="26"/>
          <w:lang w:val="en-US"/>
        </w:rPr>
        <w:t xml:space="preserve"> death may occur due to respiratory and/or heart failure. The only treatment for TTX intoxication is observation and appropriate supportive care</w:t>
      </w:r>
      <w:r>
        <w:rPr>
          <w:color w:val="000000"/>
          <w:sz w:val="26"/>
          <w:szCs w:val="26"/>
          <w:lang w:val="en-US"/>
        </w:rPr>
        <w:t xml:space="preserve">. </w:t>
      </w:r>
      <w:r w:rsidR="00752239">
        <w:rPr>
          <w:color w:val="000000"/>
          <w:sz w:val="26"/>
          <w:szCs w:val="26"/>
          <w:lang w:val="en-US"/>
        </w:rPr>
        <w:t xml:space="preserve">Plus, </w:t>
      </w:r>
      <w:r w:rsidR="00A00E35">
        <w:rPr>
          <w:color w:val="000000"/>
          <w:sz w:val="26"/>
          <w:szCs w:val="26"/>
          <w:lang w:val="en-US"/>
        </w:rPr>
        <w:t>TTX is both water soluble and heat stable so cooking does not negate its toxicity</w:t>
      </w:r>
      <w:r w:rsidR="00093062">
        <w:rPr>
          <w:color w:val="000000"/>
          <w:sz w:val="26"/>
          <w:szCs w:val="26"/>
          <w:lang w:val="en-US"/>
        </w:rPr>
        <w:t xml:space="preserve"> [1</w:t>
      </w:r>
      <w:r>
        <w:rPr>
          <w:color w:val="000000"/>
          <w:sz w:val="26"/>
          <w:szCs w:val="26"/>
          <w:lang w:val="en-US"/>
        </w:rPr>
        <w:t>]</w:t>
      </w:r>
      <w:r w:rsidR="00A00E35">
        <w:rPr>
          <w:color w:val="000000"/>
          <w:sz w:val="26"/>
          <w:szCs w:val="26"/>
          <w:lang w:val="en-US"/>
        </w:rPr>
        <w:t>.</w:t>
      </w:r>
    </w:p>
    <w:p w:rsidR="000C658C" w:rsidRDefault="00D33038" w:rsidP="0052207E">
      <w:pPr>
        <w:autoSpaceDE w:val="0"/>
        <w:autoSpaceDN w:val="0"/>
        <w:adjustRightInd w:val="0"/>
        <w:spacing w:line="240" w:lineRule="auto"/>
        <w:jc w:val="both"/>
        <w:rPr>
          <w:color w:val="000000"/>
          <w:sz w:val="26"/>
          <w:szCs w:val="26"/>
          <w:lang w:val="en-US"/>
        </w:rPr>
      </w:pPr>
      <w:r w:rsidRPr="00C47A41">
        <w:rPr>
          <w:color w:val="000000"/>
          <w:sz w:val="26"/>
          <w:szCs w:val="26"/>
          <w:lang w:val="en-US"/>
        </w:rPr>
        <w:t>Usually common in tropical warm waters</w:t>
      </w:r>
      <w:r w:rsidR="00884154" w:rsidRPr="00C47A41">
        <w:rPr>
          <w:color w:val="000000"/>
          <w:sz w:val="26"/>
          <w:szCs w:val="26"/>
          <w:lang w:val="en-US"/>
        </w:rPr>
        <w:t xml:space="preserve"> (Japan, Taiwan</w:t>
      </w:r>
      <w:r w:rsidRPr="00C47A41">
        <w:rPr>
          <w:color w:val="000000"/>
          <w:sz w:val="26"/>
          <w:szCs w:val="26"/>
          <w:lang w:val="en-US"/>
        </w:rPr>
        <w:t>,</w:t>
      </w:r>
      <w:r w:rsidR="00884154" w:rsidRPr="00C47A41">
        <w:rPr>
          <w:color w:val="000000"/>
          <w:sz w:val="26"/>
          <w:szCs w:val="26"/>
          <w:lang w:val="en-US"/>
        </w:rPr>
        <w:t xml:space="preserve"> Bangladesh and Southeast Asia)</w:t>
      </w:r>
      <w:r w:rsidR="00093062">
        <w:rPr>
          <w:color w:val="000000"/>
          <w:sz w:val="26"/>
          <w:szCs w:val="26"/>
          <w:lang w:val="en-US"/>
        </w:rPr>
        <w:t xml:space="preserve"> [1</w:t>
      </w:r>
      <w:r w:rsidR="00884154" w:rsidRPr="00C47A41">
        <w:rPr>
          <w:color w:val="000000"/>
          <w:sz w:val="26"/>
          <w:szCs w:val="26"/>
          <w:lang w:val="en-US"/>
        </w:rPr>
        <w:t>], TTX was</w:t>
      </w:r>
      <w:r w:rsidR="00630400">
        <w:rPr>
          <w:color w:val="000000"/>
          <w:sz w:val="26"/>
          <w:szCs w:val="26"/>
          <w:lang w:val="en-US"/>
        </w:rPr>
        <w:t xml:space="preserve"> recently</w:t>
      </w:r>
      <w:r w:rsidR="00884154" w:rsidRPr="00C47A41">
        <w:rPr>
          <w:color w:val="000000"/>
          <w:sz w:val="26"/>
          <w:szCs w:val="26"/>
          <w:lang w:val="en-US"/>
        </w:rPr>
        <w:t xml:space="preserve"> found in puffer fish [</w:t>
      </w:r>
      <w:r w:rsidR="000B5DE5">
        <w:rPr>
          <w:color w:val="000000"/>
          <w:sz w:val="26"/>
          <w:szCs w:val="26"/>
          <w:lang w:val="en-US"/>
        </w:rPr>
        <w:t>6, 7, 8</w:t>
      </w:r>
      <w:r w:rsidR="00884154" w:rsidRPr="00C47A41">
        <w:rPr>
          <w:color w:val="000000"/>
          <w:sz w:val="26"/>
          <w:szCs w:val="26"/>
          <w:lang w:val="en-US"/>
        </w:rPr>
        <w:t>] and gastropod</w:t>
      </w:r>
      <w:r w:rsidR="000C658C">
        <w:rPr>
          <w:color w:val="000000"/>
          <w:sz w:val="26"/>
          <w:szCs w:val="26"/>
          <w:lang w:val="en-US"/>
        </w:rPr>
        <w:t>s</w:t>
      </w:r>
      <w:r w:rsidR="00884154" w:rsidRPr="00C47A41">
        <w:rPr>
          <w:color w:val="000000"/>
          <w:sz w:val="26"/>
          <w:szCs w:val="26"/>
          <w:lang w:val="en-US"/>
        </w:rPr>
        <w:t xml:space="preserve"> </w:t>
      </w:r>
      <w:r w:rsidR="009171AB">
        <w:rPr>
          <w:color w:val="000000"/>
          <w:sz w:val="26"/>
          <w:szCs w:val="26"/>
          <w:lang w:val="en-US"/>
        </w:rPr>
        <w:t>[</w:t>
      </w:r>
      <w:r w:rsidR="000B5DE5">
        <w:rPr>
          <w:color w:val="000000"/>
          <w:sz w:val="26"/>
          <w:szCs w:val="26"/>
          <w:lang w:val="en-US"/>
        </w:rPr>
        <w:t>7, 9, 10</w:t>
      </w:r>
      <w:r w:rsidR="00884154" w:rsidRPr="00C47A41">
        <w:rPr>
          <w:color w:val="000000"/>
          <w:sz w:val="26"/>
          <w:szCs w:val="26"/>
          <w:lang w:val="en-US"/>
        </w:rPr>
        <w:t>]</w:t>
      </w:r>
      <w:r w:rsidR="00630400">
        <w:rPr>
          <w:color w:val="000000"/>
          <w:sz w:val="26"/>
          <w:szCs w:val="26"/>
          <w:lang w:val="en-US"/>
        </w:rPr>
        <w:t xml:space="preserve"> collected from Europe</w:t>
      </w:r>
      <w:r w:rsidR="00E22D64">
        <w:rPr>
          <w:color w:val="000000"/>
          <w:sz w:val="26"/>
          <w:szCs w:val="26"/>
          <w:lang w:val="en-US"/>
        </w:rPr>
        <w:t>an</w:t>
      </w:r>
      <w:r w:rsidR="00630400">
        <w:rPr>
          <w:color w:val="000000"/>
          <w:sz w:val="26"/>
          <w:szCs w:val="26"/>
          <w:lang w:val="en-US"/>
        </w:rPr>
        <w:t xml:space="preserve"> countries. Detection </w:t>
      </w:r>
      <w:r w:rsidR="00FE2DB4">
        <w:rPr>
          <w:color w:val="000000"/>
          <w:sz w:val="26"/>
          <w:szCs w:val="26"/>
          <w:lang w:val="en-US"/>
        </w:rPr>
        <w:t>of TTX in European bivalve molluscs has been firstly reported by the United Kingdom in 2014 for shellfish</w:t>
      </w:r>
      <w:r w:rsidR="00630400">
        <w:rPr>
          <w:color w:val="000000"/>
          <w:sz w:val="26"/>
          <w:szCs w:val="26"/>
          <w:lang w:val="en-US"/>
        </w:rPr>
        <w:t xml:space="preserve"> in England</w:t>
      </w:r>
      <w:r w:rsidR="00FE2DB4">
        <w:rPr>
          <w:color w:val="000000"/>
          <w:sz w:val="26"/>
          <w:szCs w:val="26"/>
          <w:lang w:val="en-US"/>
        </w:rPr>
        <w:t xml:space="preserve"> harvested in 2013 and 2014 at a maximum level of 137</w:t>
      </w:r>
      <w:r w:rsidR="00630400" w:rsidRPr="00630400">
        <w:rPr>
          <w:color w:val="000000"/>
          <w:sz w:val="26"/>
          <w:szCs w:val="26"/>
          <w:lang w:val="en-US"/>
        </w:rPr>
        <w:t xml:space="preserve"> </w:t>
      </w:r>
      <w:r w:rsidR="00630400" w:rsidRPr="00C053E7">
        <w:rPr>
          <w:color w:val="000000"/>
          <w:sz w:val="26"/>
          <w:szCs w:val="26"/>
          <w:lang w:val="en-US"/>
        </w:rPr>
        <w:t>µg</w:t>
      </w:r>
      <w:r w:rsidR="00630400">
        <w:rPr>
          <w:color w:val="000000"/>
          <w:sz w:val="26"/>
          <w:szCs w:val="26"/>
          <w:lang w:val="en-US"/>
        </w:rPr>
        <w:t xml:space="preserve"> </w:t>
      </w:r>
      <w:r w:rsidR="00FE2DB4">
        <w:rPr>
          <w:color w:val="000000"/>
          <w:sz w:val="26"/>
          <w:szCs w:val="26"/>
          <w:lang w:val="en-US"/>
        </w:rPr>
        <w:t>TT</w:t>
      </w:r>
      <w:r w:rsidR="00630400">
        <w:rPr>
          <w:color w:val="000000"/>
          <w:sz w:val="26"/>
          <w:szCs w:val="26"/>
          <w:lang w:val="en-US"/>
        </w:rPr>
        <w:t>X</w:t>
      </w:r>
      <w:r w:rsidR="000B5DE5">
        <w:rPr>
          <w:color w:val="000000"/>
          <w:sz w:val="26"/>
          <w:szCs w:val="26"/>
          <w:lang w:val="en-US"/>
        </w:rPr>
        <w:t xml:space="preserve"> eq/kg [11</w:t>
      </w:r>
      <w:r w:rsidR="00FE2DB4">
        <w:rPr>
          <w:color w:val="000000"/>
          <w:sz w:val="26"/>
          <w:szCs w:val="26"/>
          <w:lang w:val="en-US"/>
        </w:rPr>
        <w:t>]</w:t>
      </w:r>
      <w:r w:rsidR="00630400">
        <w:rPr>
          <w:color w:val="000000"/>
          <w:sz w:val="26"/>
          <w:szCs w:val="26"/>
          <w:lang w:val="en-US"/>
        </w:rPr>
        <w:t xml:space="preserve">, then by Greece in 2015 for samples obtained in 2012 at a maximum level of 223 TTX </w:t>
      </w:r>
      <w:r w:rsidR="00630400" w:rsidRPr="00C053E7">
        <w:rPr>
          <w:color w:val="000000"/>
          <w:sz w:val="26"/>
          <w:szCs w:val="26"/>
          <w:lang w:val="en-US"/>
        </w:rPr>
        <w:t>µg</w:t>
      </w:r>
      <w:r w:rsidR="000B5DE5">
        <w:rPr>
          <w:color w:val="000000"/>
          <w:sz w:val="26"/>
          <w:szCs w:val="26"/>
          <w:lang w:val="en-US"/>
        </w:rPr>
        <w:t xml:space="preserve"> eq/kg [4</w:t>
      </w:r>
      <w:r w:rsidR="00630400">
        <w:rPr>
          <w:color w:val="000000"/>
          <w:sz w:val="26"/>
          <w:szCs w:val="26"/>
          <w:lang w:val="en-US"/>
        </w:rPr>
        <w:t>]. Moreover, a survey carried out in the Netherlands in 2015 revealed that TTX can be found in mussels and oysters from Dutch production areas</w:t>
      </w:r>
      <w:r w:rsidR="000B5DE5">
        <w:rPr>
          <w:color w:val="000000"/>
          <w:sz w:val="26"/>
          <w:szCs w:val="26"/>
          <w:lang w:val="en-US"/>
        </w:rPr>
        <w:t xml:space="preserve"> [12</w:t>
      </w:r>
      <w:r w:rsidR="00630400">
        <w:rPr>
          <w:color w:val="000000"/>
          <w:sz w:val="26"/>
          <w:szCs w:val="26"/>
          <w:lang w:val="en-US"/>
        </w:rPr>
        <w:t>].</w:t>
      </w:r>
      <w:r w:rsidR="00884154" w:rsidRPr="00C47A41">
        <w:rPr>
          <w:color w:val="000000"/>
          <w:sz w:val="26"/>
          <w:szCs w:val="26"/>
          <w:lang w:val="en-US"/>
        </w:rPr>
        <w:t xml:space="preserve"> A number of researchers have formulated the theory of “Lessepsian migration” </w:t>
      </w:r>
      <w:r w:rsidR="00A26090">
        <w:rPr>
          <w:color w:val="000000"/>
          <w:sz w:val="26"/>
          <w:szCs w:val="26"/>
          <w:lang w:val="en-US"/>
        </w:rPr>
        <w:t>(influx of red sea b</w:t>
      </w:r>
      <w:r w:rsidR="00A26090" w:rsidRPr="00A26090">
        <w:rPr>
          <w:color w:val="000000"/>
          <w:sz w:val="26"/>
          <w:szCs w:val="26"/>
          <w:lang w:val="en-US"/>
        </w:rPr>
        <w:t xml:space="preserve">iota into the Mediterranean </w:t>
      </w:r>
      <w:r w:rsidR="00A26090">
        <w:rPr>
          <w:color w:val="000000"/>
          <w:sz w:val="26"/>
          <w:szCs w:val="26"/>
          <w:lang w:val="en-US"/>
        </w:rPr>
        <w:t>Sea by way of the Suez C</w:t>
      </w:r>
      <w:r w:rsidR="00A26090" w:rsidRPr="00A26090">
        <w:rPr>
          <w:color w:val="000000"/>
          <w:sz w:val="26"/>
          <w:szCs w:val="26"/>
          <w:lang w:val="en-US"/>
        </w:rPr>
        <w:t>ana</w:t>
      </w:r>
      <w:r w:rsidR="00A26090">
        <w:rPr>
          <w:color w:val="000000"/>
          <w:sz w:val="26"/>
          <w:szCs w:val="26"/>
          <w:lang w:val="en-US"/>
        </w:rPr>
        <w:t xml:space="preserve">l) </w:t>
      </w:r>
      <w:r w:rsidR="00884154" w:rsidRPr="00C47A41">
        <w:rPr>
          <w:color w:val="000000"/>
          <w:sz w:val="26"/>
          <w:szCs w:val="26"/>
          <w:lang w:val="en-US"/>
        </w:rPr>
        <w:t xml:space="preserve">for explaining the new occurrence of TTX in European regions. </w:t>
      </w:r>
      <w:r w:rsidR="00C47A41" w:rsidRPr="00C47A41">
        <w:rPr>
          <w:color w:val="000000"/>
          <w:sz w:val="26"/>
          <w:szCs w:val="26"/>
          <w:lang w:val="en-US"/>
        </w:rPr>
        <w:t>Ballast water can also cause the transfer of TTX containing organisms from Asian waters to European waters</w:t>
      </w:r>
      <w:r w:rsidR="00093062">
        <w:rPr>
          <w:color w:val="000000"/>
          <w:sz w:val="26"/>
          <w:szCs w:val="26"/>
          <w:lang w:val="en-US"/>
        </w:rPr>
        <w:t xml:space="preserve"> [1</w:t>
      </w:r>
      <w:r w:rsidR="00C47A41">
        <w:rPr>
          <w:color w:val="000000"/>
          <w:sz w:val="26"/>
          <w:szCs w:val="26"/>
          <w:lang w:val="en-US"/>
        </w:rPr>
        <w:t>]</w:t>
      </w:r>
      <w:r w:rsidR="00C47A41" w:rsidRPr="00C47A41">
        <w:rPr>
          <w:color w:val="000000"/>
          <w:sz w:val="26"/>
          <w:szCs w:val="26"/>
          <w:lang w:val="en-US"/>
        </w:rPr>
        <w:t>.</w:t>
      </w:r>
    </w:p>
    <w:p w:rsidR="00A26090" w:rsidRDefault="00A26090" w:rsidP="00A26090">
      <w:pPr>
        <w:autoSpaceDE w:val="0"/>
        <w:autoSpaceDN w:val="0"/>
        <w:adjustRightInd w:val="0"/>
        <w:spacing w:line="240" w:lineRule="auto"/>
        <w:ind w:firstLine="708"/>
        <w:jc w:val="both"/>
        <w:rPr>
          <w:color w:val="000000"/>
          <w:sz w:val="26"/>
          <w:szCs w:val="26"/>
          <w:lang w:val="en-US"/>
        </w:rPr>
      </w:pPr>
      <w:r>
        <w:rPr>
          <w:sz w:val="26"/>
          <w:szCs w:val="26"/>
          <w:lang w:val="en-US"/>
        </w:rPr>
        <w:t>The</w:t>
      </w:r>
      <w:r w:rsidR="0052207E" w:rsidRPr="000E0183">
        <w:rPr>
          <w:sz w:val="26"/>
          <w:szCs w:val="26"/>
          <w:lang w:val="en-US"/>
        </w:rPr>
        <w:t xml:space="preserve"> </w:t>
      </w:r>
      <w:r w:rsidR="00AF3E85" w:rsidRPr="000E0183">
        <w:rPr>
          <w:sz w:val="26"/>
          <w:szCs w:val="26"/>
          <w:lang w:val="en-US"/>
        </w:rPr>
        <w:t>study conducted in Greece</w:t>
      </w:r>
      <w:r w:rsidR="00AF3E85">
        <w:rPr>
          <w:sz w:val="26"/>
          <w:szCs w:val="26"/>
          <w:lang w:val="en-US"/>
        </w:rPr>
        <w:t xml:space="preserve"> by Vlamis and al. </w:t>
      </w:r>
      <w:r w:rsidR="000B5DE5">
        <w:rPr>
          <w:sz w:val="26"/>
          <w:szCs w:val="26"/>
          <w:lang w:val="en-US"/>
        </w:rPr>
        <w:t xml:space="preserve">[4] </w:t>
      </w:r>
      <w:r w:rsidR="0052207E" w:rsidRPr="000E0183">
        <w:rPr>
          <w:sz w:val="26"/>
          <w:szCs w:val="26"/>
          <w:lang w:val="en-US"/>
        </w:rPr>
        <w:t xml:space="preserve">on the presence of TTX in European bivalve molluscs raises the question of a link between the presence of TTX in temperate waters and climate change with warming of the oceans. This study suggests a possible link between the presence of TTX in temperate zone and the presence of algal bloom of </w:t>
      </w:r>
      <w:r w:rsidR="0052207E" w:rsidRPr="006511E3">
        <w:rPr>
          <w:i/>
          <w:sz w:val="26"/>
          <w:szCs w:val="26"/>
          <w:lang w:val="en-US"/>
        </w:rPr>
        <w:t>Prorocentrum minimum</w:t>
      </w:r>
      <w:r w:rsidR="0052207E" w:rsidRPr="000E0183">
        <w:rPr>
          <w:sz w:val="26"/>
          <w:szCs w:val="26"/>
          <w:lang w:val="en-US"/>
        </w:rPr>
        <w:t>, microalgae that produce TTX</w:t>
      </w:r>
      <w:r w:rsidR="006B26EE">
        <w:rPr>
          <w:sz w:val="26"/>
          <w:szCs w:val="26"/>
          <w:lang w:val="en-US"/>
        </w:rPr>
        <w:t xml:space="preserve">. </w:t>
      </w:r>
      <w:r w:rsidR="00630400">
        <w:rPr>
          <w:sz w:val="26"/>
          <w:szCs w:val="26"/>
          <w:lang w:val="en-US"/>
        </w:rPr>
        <w:t>It</w:t>
      </w:r>
      <w:r w:rsidR="006B26EE">
        <w:rPr>
          <w:sz w:val="26"/>
          <w:szCs w:val="26"/>
          <w:lang w:val="en-US"/>
        </w:rPr>
        <w:t xml:space="preserve"> </w:t>
      </w:r>
      <w:r w:rsidR="00C16183">
        <w:rPr>
          <w:sz w:val="26"/>
          <w:szCs w:val="26"/>
          <w:lang w:val="en-US"/>
        </w:rPr>
        <w:t xml:space="preserve">also </w:t>
      </w:r>
      <w:r w:rsidR="006B26EE">
        <w:rPr>
          <w:sz w:val="26"/>
          <w:szCs w:val="26"/>
          <w:lang w:val="en-US"/>
        </w:rPr>
        <w:t>shows that</w:t>
      </w:r>
      <w:r w:rsidR="00630400">
        <w:rPr>
          <w:sz w:val="26"/>
          <w:szCs w:val="26"/>
          <w:lang w:val="en-US"/>
        </w:rPr>
        <w:t xml:space="preserve"> TTX were already present in Greek shellfish since 2006, in concentrations ranging between 61,0 and 197,7 </w:t>
      </w:r>
      <w:r w:rsidR="00630400">
        <w:rPr>
          <w:color w:val="000000"/>
          <w:sz w:val="26"/>
          <w:szCs w:val="26"/>
          <w:lang w:val="en-US"/>
        </w:rPr>
        <w:t xml:space="preserve">TTX </w:t>
      </w:r>
      <w:r w:rsidR="00630400" w:rsidRPr="00C053E7">
        <w:rPr>
          <w:color w:val="000000"/>
          <w:sz w:val="26"/>
          <w:szCs w:val="26"/>
          <w:lang w:val="en-US"/>
        </w:rPr>
        <w:t>µg</w:t>
      </w:r>
      <w:r w:rsidR="00630400">
        <w:rPr>
          <w:color w:val="000000"/>
          <w:sz w:val="26"/>
          <w:szCs w:val="26"/>
          <w:lang w:val="en-US"/>
        </w:rPr>
        <w:t xml:space="preserve"> eq/kg. </w:t>
      </w:r>
      <w:r w:rsidR="00630400">
        <w:rPr>
          <w:sz w:val="26"/>
          <w:szCs w:val="26"/>
          <w:lang w:val="en-US"/>
        </w:rPr>
        <w:t xml:space="preserve">To our knowledge, this is </w:t>
      </w:r>
      <w:r w:rsidR="006B26EE">
        <w:rPr>
          <w:sz w:val="26"/>
          <w:szCs w:val="26"/>
          <w:lang w:val="en-US"/>
        </w:rPr>
        <w:t>the ear</w:t>
      </w:r>
      <w:r w:rsidR="00725516">
        <w:rPr>
          <w:sz w:val="26"/>
          <w:szCs w:val="26"/>
          <w:lang w:val="en-US"/>
        </w:rPr>
        <w:t>liest reported detection of TTXs</w:t>
      </w:r>
      <w:r w:rsidR="00630400">
        <w:rPr>
          <w:sz w:val="26"/>
          <w:szCs w:val="26"/>
          <w:lang w:val="en-US"/>
        </w:rPr>
        <w:t xml:space="preserve"> in European bivalve shellfish</w:t>
      </w:r>
      <w:r w:rsidR="000B5DE5">
        <w:rPr>
          <w:sz w:val="26"/>
          <w:szCs w:val="26"/>
          <w:lang w:val="en-US"/>
        </w:rPr>
        <w:t xml:space="preserve"> [4]</w:t>
      </w:r>
      <w:r w:rsidR="00630400">
        <w:rPr>
          <w:sz w:val="26"/>
          <w:szCs w:val="26"/>
          <w:lang w:val="en-US"/>
        </w:rPr>
        <w:t>.</w:t>
      </w:r>
      <w:r w:rsidRPr="00A26090">
        <w:rPr>
          <w:color w:val="000000"/>
          <w:sz w:val="26"/>
          <w:szCs w:val="26"/>
          <w:lang w:val="en-US"/>
        </w:rPr>
        <w:t xml:space="preserve"> </w:t>
      </w:r>
    </w:p>
    <w:p w:rsidR="0052207E" w:rsidRPr="00A26090" w:rsidRDefault="00A26090" w:rsidP="00A26090">
      <w:pPr>
        <w:autoSpaceDE w:val="0"/>
        <w:autoSpaceDN w:val="0"/>
        <w:adjustRightInd w:val="0"/>
        <w:spacing w:line="240" w:lineRule="auto"/>
        <w:ind w:firstLine="708"/>
        <w:jc w:val="both"/>
        <w:rPr>
          <w:color w:val="000000"/>
          <w:sz w:val="26"/>
          <w:szCs w:val="26"/>
          <w:lang w:val="en-US"/>
        </w:rPr>
      </w:pPr>
      <w:r w:rsidRPr="00093062">
        <w:rPr>
          <w:color w:val="000000"/>
          <w:sz w:val="26"/>
          <w:szCs w:val="26"/>
          <w:lang w:val="en-US"/>
        </w:rPr>
        <w:t>Live bivalve molluscs are bio-filters and bio-accumulators. So they are able to accumulate toxins present in waters and transmit them to consumers.</w:t>
      </w:r>
    </w:p>
    <w:p w:rsidR="0052207E" w:rsidRDefault="008102DB" w:rsidP="0052207E">
      <w:pPr>
        <w:autoSpaceDE w:val="0"/>
        <w:autoSpaceDN w:val="0"/>
        <w:adjustRightInd w:val="0"/>
        <w:spacing w:line="240" w:lineRule="auto"/>
        <w:jc w:val="both"/>
        <w:rPr>
          <w:sz w:val="26"/>
          <w:szCs w:val="26"/>
          <w:lang w:val="en-US"/>
        </w:rPr>
      </w:pPr>
      <w:r>
        <w:rPr>
          <w:sz w:val="26"/>
          <w:szCs w:val="26"/>
          <w:lang w:val="en-US"/>
        </w:rPr>
        <w:t>These days</w:t>
      </w:r>
      <w:r w:rsidR="00B96A02">
        <w:rPr>
          <w:sz w:val="26"/>
          <w:szCs w:val="26"/>
          <w:lang w:val="en-US"/>
        </w:rPr>
        <w:t>,</w:t>
      </w:r>
      <w:r>
        <w:rPr>
          <w:sz w:val="26"/>
          <w:szCs w:val="26"/>
          <w:lang w:val="en-US"/>
        </w:rPr>
        <w:t xml:space="preserve"> </w:t>
      </w:r>
      <w:r w:rsidR="00CC7F02">
        <w:rPr>
          <w:sz w:val="26"/>
          <w:szCs w:val="26"/>
          <w:lang w:val="en-US"/>
        </w:rPr>
        <w:t>t</w:t>
      </w:r>
      <w:r w:rsidR="006B26EE">
        <w:rPr>
          <w:sz w:val="26"/>
          <w:szCs w:val="26"/>
          <w:lang w:val="en-US"/>
        </w:rPr>
        <w:t>he first and unique European case of</w:t>
      </w:r>
      <w:r w:rsidR="00B96A02">
        <w:rPr>
          <w:sz w:val="26"/>
          <w:szCs w:val="26"/>
          <w:lang w:val="en-US"/>
        </w:rPr>
        <w:t xml:space="preserve"> TTX intoxication happened in 2007</w:t>
      </w:r>
      <w:r w:rsidR="006B26EE">
        <w:rPr>
          <w:sz w:val="26"/>
          <w:szCs w:val="26"/>
          <w:lang w:val="en-US"/>
        </w:rPr>
        <w:t xml:space="preserve"> </w:t>
      </w:r>
      <w:r w:rsidR="00B96A02">
        <w:rPr>
          <w:sz w:val="26"/>
          <w:szCs w:val="26"/>
          <w:lang w:val="en-US"/>
        </w:rPr>
        <w:t xml:space="preserve">on a man who purchased an edible trumpet shell of the species </w:t>
      </w:r>
      <w:r w:rsidR="00B96A02" w:rsidRPr="00B96A02">
        <w:rPr>
          <w:i/>
          <w:sz w:val="26"/>
          <w:szCs w:val="26"/>
          <w:lang w:val="en-US"/>
        </w:rPr>
        <w:t>Charonia</w:t>
      </w:r>
      <w:r w:rsidR="00B96A02">
        <w:rPr>
          <w:sz w:val="26"/>
          <w:szCs w:val="26"/>
          <w:lang w:val="en-US"/>
        </w:rPr>
        <w:t xml:space="preserve"> </w:t>
      </w:r>
      <w:r w:rsidR="00B96A02" w:rsidRPr="00B96A02">
        <w:rPr>
          <w:i/>
          <w:sz w:val="26"/>
          <w:szCs w:val="26"/>
          <w:lang w:val="en-US"/>
        </w:rPr>
        <w:t>lampas lampas</w:t>
      </w:r>
      <w:r w:rsidR="00B96A02">
        <w:rPr>
          <w:sz w:val="26"/>
          <w:szCs w:val="26"/>
          <w:lang w:val="en-US"/>
        </w:rPr>
        <w:t xml:space="preserve"> from a market in southern Spain</w:t>
      </w:r>
      <w:r w:rsidR="005A1B7D">
        <w:rPr>
          <w:sz w:val="26"/>
          <w:szCs w:val="26"/>
          <w:lang w:val="en-US"/>
        </w:rPr>
        <w:t xml:space="preserve"> [13</w:t>
      </w:r>
      <w:r w:rsidR="000B5DE5">
        <w:rPr>
          <w:sz w:val="26"/>
          <w:szCs w:val="26"/>
          <w:lang w:val="en-US"/>
        </w:rPr>
        <w:t>]</w:t>
      </w:r>
      <w:r w:rsidR="006B26EE">
        <w:rPr>
          <w:sz w:val="26"/>
          <w:szCs w:val="26"/>
          <w:lang w:val="en-US"/>
        </w:rPr>
        <w:t xml:space="preserve">. He ingested </w:t>
      </w:r>
      <w:r w:rsidR="00B96A02">
        <w:rPr>
          <w:sz w:val="26"/>
          <w:szCs w:val="26"/>
          <w:lang w:val="en-US"/>
        </w:rPr>
        <w:t xml:space="preserve">some of the white meat of the shellfish and reached the dark digestive gland. </w:t>
      </w:r>
      <w:r w:rsidR="006B26EE">
        <w:rPr>
          <w:sz w:val="26"/>
          <w:szCs w:val="26"/>
          <w:lang w:val="en-US"/>
        </w:rPr>
        <w:t>The patient suffered general paralysis, including</w:t>
      </w:r>
      <w:r w:rsidR="00C60E66">
        <w:rPr>
          <w:sz w:val="26"/>
          <w:szCs w:val="26"/>
          <w:lang w:val="en-US"/>
        </w:rPr>
        <w:t xml:space="preserve"> the respiratory muscles, a few minutes after the consumption</w:t>
      </w:r>
      <w:r w:rsidR="00A26090">
        <w:rPr>
          <w:sz w:val="26"/>
          <w:szCs w:val="26"/>
          <w:lang w:val="en-US"/>
        </w:rPr>
        <w:t>, without any o</w:t>
      </w:r>
      <w:r w:rsidR="005A1B7D">
        <w:rPr>
          <w:sz w:val="26"/>
          <w:szCs w:val="26"/>
          <w:lang w:val="en-US"/>
        </w:rPr>
        <w:t>ther symptom and consequence [13</w:t>
      </w:r>
      <w:r w:rsidR="00A26090">
        <w:rPr>
          <w:sz w:val="26"/>
          <w:szCs w:val="26"/>
          <w:lang w:val="en-US"/>
        </w:rPr>
        <w:t>]</w:t>
      </w:r>
      <w:r w:rsidR="00C60E66" w:rsidRPr="00C60E66">
        <w:rPr>
          <w:sz w:val="26"/>
          <w:szCs w:val="26"/>
          <w:lang w:val="en-US"/>
        </w:rPr>
        <w:t xml:space="preserve">. However, it is important to specify that the </w:t>
      </w:r>
      <w:r w:rsidR="00C60E66">
        <w:rPr>
          <w:sz w:val="26"/>
          <w:szCs w:val="26"/>
          <w:lang w:val="en-US"/>
        </w:rPr>
        <w:t>mollusc</w:t>
      </w:r>
      <w:r w:rsidR="00C60E66" w:rsidRPr="00C60E66">
        <w:rPr>
          <w:sz w:val="26"/>
          <w:szCs w:val="26"/>
          <w:lang w:val="en-US"/>
        </w:rPr>
        <w:t xml:space="preserve"> </w:t>
      </w:r>
      <w:r w:rsidR="00B96A02">
        <w:rPr>
          <w:sz w:val="26"/>
          <w:szCs w:val="26"/>
          <w:lang w:val="en-US"/>
        </w:rPr>
        <w:t>bought and consumed</w:t>
      </w:r>
      <w:r w:rsidR="00C60E66" w:rsidRPr="00C60E66">
        <w:rPr>
          <w:sz w:val="26"/>
          <w:szCs w:val="26"/>
          <w:lang w:val="en-US"/>
        </w:rPr>
        <w:t xml:space="preserve"> is</w:t>
      </w:r>
      <w:r w:rsidR="00C60E66">
        <w:rPr>
          <w:sz w:val="26"/>
          <w:szCs w:val="26"/>
          <w:lang w:val="en-US"/>
        </w:rPr>
        <w:t xml:space="preserve"> not a species usually fished or raised in European countries.</w:t>
      </w:r>
    </w:p>
    <w:p w:rsidR="0052207E" w:rsidRDefault="0052207E" w:rsidP="0052207E">
      <w:pPr>
        <w:autoSpaceDE w:val="0"/>
        <w:autoSpaceDN w:val="0"/>
        <w:adjustRightInd w:val="0"/>
        <w:spacing w:line="240" w:lineRule="auto"/>
        <w:jc w:val="both"/>
        <w:rPr>
          <w:sz w:val="26"/>
          <w:szCs w:val="26"/>
          <w:lang w:val="en-US"/>
        </w:rPr>
      </w:pPr>
    </w:p>
    <w:p w:rsidR="00FF1FEB" w:rsidRPr="00FF1FEB" w:rsidRDefault="008466F5" w:rsidP="0052207E">
      <w:pPr>
        <w:autoSpaceDE w:val="0"/>
        <w:autoSpaceDN w:val="0"/>
        <w:adjustRightInd w:val="0"/>
        <w:spacing w:line="240" w:lineRule="auto"/>
        <w:jc w:val="both"/>
        <w:rPr>
          <w:b/>
          <w:sz w:val="26"/>
          <w:szCs w:val="26"/>
          <w:lang w:val="en-US"/>
        </w:rPr>
      </w:pPr>
      <w:r>
        <w:rPr>
          <w:b/>
          <w:sz w:val="26"/>
          <w:szCs w:val="26"/>
          <w:lang w:val="en-US"/>
        </w:rPr>
        <w:t>Context</w:t>
      </w:r>
      <w:r w:rsidR="00A26090">
        <w:rPr>
          <w:b/>
          <w:sz w:val="26"/>
          <w:szCs w:val="26"/>
          <w:lang w:val="en-US"/>
        </w:rPr>
        <w:t xml:space="preserve"> of this advice</w:t>
      </w:r>
    </w:p>
    <w:p w:rsidR="00237B35" w:rsidRPr="00C053E7" w:rsidRDefault="00C053E7" w:rsidP="00C053E7">
      <w:pPr>
        <w:spacing w:line="240" w:lineRule="auto"/>
        <w:ind w:firstLine="708"/>
        <w:jc w:val="both"/>
        <w:rPr>
          <w:color w:val="000000"/>
          <w:sz w:val="26"/>
          <w:szCs w:val="26"/>
          <w:lang w:val="en-US"/>
        </w:rPr>
      </w:pPr>
      <w:r w:rsidRPr="00C053E7">
        <w:rPr>
          <w:color w:val="000000"/>
          <w:sz w:val="26"/>
          <w:szCs w:val="26"/>
          <w:lang w:val="en-US"/>
        </w:rPr>
        <w:t xml:space="preserve">In 2015, the RIKILT </w:t>
      </w:r>
      <w:r>
        <w:rPr>
          <w:color w:val="000000"/>
          <w:sz w:val="26"/>
          <w:szCs w:val="26"/>
          <w:lang w:val="en-US"/>
        </w:rPr>
        <w:t>(</w:t>
      </w:r>
      <w:r w:rsidRPr="00C053E7">
        <w:rPr>
          <w:color w:val="000000"/>
          <w:sz w:val="26"/>
          <w:szCs w:val="26"/>
          <w:lang w:val="en-US"/>
        </w:rPr>
        <w:t>Institute for Food Safety</w:t>
      </w:r>
      <w:r>
        <w:rPr>
          <w:color w:val="000000"/>
          <w:sz w:val="26"/>
          <w:szCs w:val="26"/>
          <w:lang w:val="en-US"/>
        </w:rPr>
        <w:t xml:space="preserve"> in the Netherlands)</w:t>
      </w:r>
      <w:r w:rsidRPr="00C053E7">
        <w:rPr>
          <w:color w:val="000000"/>
          <w:sz w:val="26"/>
          <w:szCs w:val="26"/>
          <w:lang w:val="en-US"/>
        </w:rPr>
        <w:t xml:space="preserve"> carried out a survey into TTX in live bivalve molluscs from Dutch production areas</w:t>
      </w:r>
      <w:r w:rsidR="000B5DE5">
        <w:rPr>
          <w:color w:val="000000"/>
          <w:sz w:val="26"/>
          <w:szCs w:val="26"/>
          <w:lang w:val="en-US"/>
        </w:rPr>
        <w:t xml:space="preserve"> [</w:t>
      </w:r>
      <w:r w:rsidR="00A26090">
        <w:rPr>
          <w:color w:val="000000"/>
          <w:sz w:val="26"/>
          <w:szCs w:val="26"/>
          <w:lang w:val="en-US"/>
        </w:rPr>
        <w:t>12</w:t>
      </w:r>
      <w:r w:rsidR="000B5DE5">
        <w:rPr>
          <w:color w:val="000000"/>
          <w:sz w:val="26"/>
          <w:szCs w:val="26"/>
          <w:lang w:val="en-US"/>
        </w:rPr>
        <w:t>]</w:t>
      </w:r>
      <w:r w:rsidRPr="00C053E7">
        <w:rPr>
          <w:color w:val="000000"/>
          <w:sz w:val="26"/>
          <w:szCs w:val="26"/>
          <w:lang w:val="en-US"/>
        </w:rPr>
        <w:t>. It revealed that TTX can be found in mussels and oysters from Dutch production areas. In July and Augu</w:t>
      </w:r>
      <w:r w:rsidR="0099200A">
        <w:rPr>
          <w:color w:val="000000"/>
          <w:sz w:val="26"/>
          <w:szCs w:val="26"/>
          <w:lang w:val="en-US"/>
        </w:rPr>
        <w:t>st 2015, values ranging from 13,7-124,</w:t>
      </w:r>
      <w:r w:rsidRPr="00C053E7">
        <w:rPr>
          <w:color w:val="000000"/>
          <w:sz w:val="26"/>
          <w:szCs w:val="26"/>
          <w:lang w:val="en-US"/>
        </w:rPr>
        <w:t>1 µg</w:t>
      </w:r>
      <w:r w:rsidR="00725516">
        <w:rPr>
          <w:color w:val="000000"/>
          <w:sz w:val="26"/>
          <w:szCs w:val="26"/>
          <w:lang w:val="en-US"/>
        </w:rPr>
        <w:t xml:space="preserve"> TTX equivalent</w:t>
      </w:r>
      <w:r w:rsidRPr="00C053E7">
        <w:rPr>
          <w:color w:val="000000"/>
          <w:sz w:val="26"/>
          <w:szCs w:val="26"/>
          <w:lang w:val="en-US"/>
        </w:rPr>
        <w:t xml:space="preserve">/kg </w:t>
      </w:r>
      <w:r w:rsidR="00725516">
        <w:rPr>
          <w:color w:val="000000"/>
          <w:sz w:val="26"/>
          <w:szCs w:val="26"/>
          <w:lang w:val="en-US"/>
        </w:rPr>
        <w:t>shellfish meat</w:t>
      </w:r>
      <w:r w:rsidR="005567C9">
        <w:rPr>
          <w:color w:val="000000"/>
          <w:sz w:val="26"/>
          <w:szCs w:val="26"/>
          <w:lang w:val="en-US"/>
        </w:rPr>
        <w:t xml:space="preserve"> </w:t>
      </w:r>
      <w:r w:rsidRPr="00C053E7">
        <w:rPr>
          <w:color w:val="000000"/>
          <w:sz w:val="26"/>
          <w:szCs w:val="26"/>
          <w:lang w:val="en-US"/>
        </w:rPr>
        <w:t>were detected</w:t>
      </w:r>
      <w:r w:rsidR="000B5DE5">
        <w:rPr>
          <w:color w:val="000000"/>
          <w:sz w:val="26"/>
          <w:szCs w:val="26"/>
          <w:lang w:val="en-US"/>
        </w:rPr>
        <w:t xml:space="preserve"> </w:t>
      </w:r>
      <w:r w:rsidR="00A26090" w:rsidRPr="00A26090">
        <w:rPr>
          <w:sz w:val="26"/>
          <w:szCs w:val="26"/>
          <w:lang w:val="en-US"/>
        </w:rPr>
        <w:t>[12</w:t>
      </w:r>
      <w:r w:rsidR="000B5DE5" w:rsidRPr="00A26090">
        <w:rPr>
          <w:sz w:val="26"/>
          <w:szCs w:val="26"/>
          <w:lang w:val="en-US"/>
        </w:rPr>
        <w:t>]</w:t>
      </w:r>
      <w:r w:rsidRPr="00A26090">
        <w:rPr>
          <w:sz w:val="26"/>
          <w:szCs w:val="26"/>
          <w:lang w:val="en-US"/>
        </w:rPr>
        <w:t xml:space="preserve">. </w:t>
      </w:r>
      <w:r w:rsidRPr="00C053E7">
        <w:rPr>
          <w:color w:val="000000"/>
          <w:sz w:val="26"/>
          <w:szCs w:val="26"/>
          <w:lang w:val="en-US"/>
        </w:rPr>
        <w:t>The Netherlands Food and Consumer Product Safety Authority (NVWA) considers it likely that TTX, even in low concentrations, may constitute a risk when live bivalve molluscs containing TTX are consumed. The advisory research (NVWA/BuRO</w:t>
      </w:r>
      <w:r w:rsidR="00A26090">
        <w:rPr>
          <w:color w:val="000000"/>
          <w:sz w:val="26"/>
          <w:szCs w:val="26"/>
          <w:lang w:val="en-US"/>
        </w:rPr>
        <w:t xml:space="preserve"> </w:t>
      </w:r>
      <w:r w:rsidRPr="00C053E7">
        <w:rPr>
          <w:color w:val="000000"/>
          <w:sz w:val="26"/>
          <w:szCs w:val="26"/>
          <w:lang w:val="en-US"/>
        </w:rPr>
        <w:t xml:space="preserve">/2016/79) of the Office for Risk Assessment (BuRO) has confirmed this and has also </w:t>
      </w:r>
      <w:r w:rsidR="002F38A2">
        <w:rPr>
          <w:color w:val="000000"/>
          <w:sz w:val="26"/>
          <w:szCs w:val="26"/>
          <w:lang w:val="en-US"/>
        </w:rPr>
        <w:t xml:space="preserve">adviced </w:t>
      </w:r>
      <w:r w:rsidRPr="00C053E7">
        <w:rPr>
          <w:color w:val="000000"/>
          <w:sz w:val="26"/>
          <w:szCs w:val="26"/>
          <w:lang w:val="en-US"/>
        </w:rPr>
        <w:t>the NVWA to act from a precautionary principle and to ensure that live bivalve molluscs containing TTX are not put on the market. The advice does not propose a maximum permitted limit, because one cannot be identified based on the current research. BuRO therefore assumes that any presence of TTX in live bivalve molluscs may pose health risks if they are consumed</w:t>
      </w:r>
      <w:r w:rsidR="005A1B7D">
        <w:rPr>
          <w:color w:val="000000"/>
          <w:sz w:val="26"/>
          <w:szCs w:val="26"/>
          <w:lang w:val="en-US"/>
        </w:rPr>
        <w:t xml:space="preserve"> [14</w:t>
      </w:r>
      <w:r>
        <w:rPr>
          <w:color w:val="000000"/>
          <w:sz w:val="26"/>
          <w:szCs w:val="26"/>
          <w:lang w:val="en-US"/>
        </w:rPr>
        <w:t>]</w:t>
      </w:r>
      <w:r w:rsidRPr="00C053E7">
        <w:rPr>
          <w:color w:val="000000"/>
          <w:sz w:val="26"/>
          <w:szCs w:val="26"/>
          <w:lang w:val="en-US"/>
        </w:rPr>
        <w:t>.</w:t>
      </w:r>
    </w:p>
    <w:p w:rsidR="00AC1489" w:rsidRDefault="00C053E7" w:rsidP="00A26090">
      <w:pPr>
        <w:jc w:val="both"/>
        <w:rPr>
          <w:color w:val="000000"/>
          <w:sz w:val="26"/>
          <w:szCs w:val="26"/>
          <w:lang w:val="en-US"/>
        </w:rPr>
      </w:pPr>
      <w:r>
        <w:rPr>
          <w:color w:val="000000"/>
          <w:sz w:val="26"/>
          <w:szCs w:val="26"/>
          <w:lang w:val="en-US"/>
        </w:rPr>
        <w:t>So</w:t>
      </w:r>
      <w:r w:rsidR="00725516">
        <w:rPr>
          <w:color w:val="000000"/>
          <w:sz w:val="26"/>
          <w:szCs w:val="26"/>
          <w:lang w:val="en-US"/>
        </w:rPr>
        <w:t>,</w:t>
      </w:r>
      <w:r>
        <w:rPr>
          <w:color w:val="000000"/>
          <w:sz w:val="26"/>
          <w:szCs w:val="26"/>
          <w:lang w:val="en-US"/>
        </w:rPr>
        <w:t xml:space="preserve"> </w:t>
      </w:r>
      <w:r w:rsidR="00A26090">
        <w:rPr>
          <w:color w:val="000000"/>
          <w:sz w:val="26"/>
          <w:szCs w:val="26"/>
          <w:lang w:val="en-US"/>
        </w:rPr>
        <w:t>t</w:t>
      </w:r>
      <w:r w:rsidR="00823B84" w:rsidRPr="000E0183">
        <w:rPr>
          <w:color w:val="000000"/>
          <w:sz w:val="26"/>
          <w:szCs w:val="26"/>
          <w:lang w:val="en-US"/>
        </w:rPr>
        <w:t xml:space="preserve">he Netherlands have issued on April 18, 2016 a </w:t>
      </w:r>
      <w:r w:rsidR="00A26090">
        <w:rPr>
          <w:color w:val="000000"/>
          <w:sz w:val="26"/>
          <w:szCs w:val="26"/>
          <w:lang w:val="en-US"/>
        </w:rPr>
        <w:t xml:space="preserve">national </w:t>
      </w:r>
      <w:r w:rsidR="00823B84" w:rsidRPr="000E0183">
        <w:rPr>
          <w:color w:val="000000"/>
          <w:sz w:val="26"/>
          <w:szCs w:val="26"/>
          <w:lang w:val="en-US"/>
        </w:rPr>
        <w:t xml:space="preserve">draft regulation concerning the Tetrodotoxin </w:t>
      </w:r>
      <w:r w:rsidR="006B26EE">
        <w:rPr>
          <w:color w:val="000000"/>
          <w:sz w:val="26"/>
          <w:szCs w:val="26"/>
          <w:lang w:val="en-US"/>
        </w:rPr>
        <w:t>(TTX) in live bivalve molluscs [</w:t>
      </w:r>
      <w:r w:rsidR="005A1B7D">
        <w:rPr>
          <w:color w:val="000000"/>
          <w:sz w:val="26"/>
          <w:szCs w:val="26"/>
          <w:lang w:val="en-US"/>
        </w:rPr>
        <w:t>14</w:t>
      </w:r>
      <w:r w:rsidR="006B26EE">
        <w:rPr>
          <w:color w:val="000000"/>
          <w:sz w:val="26"/>
          <w:szCs w:val="26"/>
          <w:lang w:val="en-US"/>
        </w:rPr>
        <w:t>]</w:t>
      </w:r>
      <w:r w:rsidR="00823B84" w:rsidRPr="000E0183">
        <w:rPr>
          <w:color w:val="000000"/>
          <w:sz w:val="26"/>
          <w:szCs w:val="26"/>
          <w:lang w:val="en-US"/>
        </w:rPr>
        <w:t xml:space="preserve">. </w:t>
      </w:r>
      <w:r w:rsidR="00823B84" w:rsidRPr="0099200A">
        <w:rPr>
          <w:color w:val="000000"/>
          <w:sz w:val="26"/>
          <w:szCs w:val="26"/>
          <w:lang w:val="en-US"/>
        </w:rPr>
        <w:t xml:space="preserve">This project </w:t>
      </w:r>
      <w:r w:rsidR="007F3541" w:rsidRPr="0099200A">
        <w:rPr>
          <w:color w:val="000000"/>
          <w:sz w:val="26"/>
          <w:szCs w:val="26"/>
          <w:lang w:val="en-US"/>
        </w:rPr>
        <w:t>s</w:t>
      </w:r>
      <w:r w:rsidR="00A26090">
        <w:rPr>
          <w:color w:val="000000"/>
          <w:sz w:val="26"/>
          <w:szCs w:val="26"/>
          <w:lang w:val="en-US"/>
        </w:rPr>
        <w:t>tates</w:t>
      </w:r>
      <w:r w:rsidR="00823B84" w:rsidRPr="0099200A">
        <w:rPr>
          <w:color w:val="000000"/>
          <w:sz w:val="26"/>
          <w:szCs w:val="26"/>
          <w:lang w:val="en-US"/>
        </w:rPr>
        <w:t xml:space="preserve"> that the NVWA </w:t>
      </w:r>
      <w:r w:rsidR="00A26090">
        <w:rPr>
          <w:color w:val="000000"/>
          <w:sz w:val="26"/>
          <w:szCs w:val="26"/>
          <w:lang w:val="en-US"/>
        </w:rPr>
        <w:t>has</w:t>
      </w:r>
      <w:r w:rsidR="007F3541" w:rsidRPr="0099200A">
        <w:rPr>
          <w:color w:val="000000"/>
          <w:sz w:val="26"/>
          <w:szCs w:val="26"/>
          <w:lang w:val="en-US"/>
        </w:rPr>
        <w:t xml:space="preserve"> to</w:t>
      </w:r>
      <w:r w:rsidR="00823B84" w:rsidRPr="0099200A">
        <w:rPr>
          <w:color w:val="000000"/>
          <w:sz w:val="26"/>
          <w:szCs w:val="26"/>
          <w:lang w:val="en-US"/>
        </w:rPr>
        <w:t xml:space="preserve"> adopt </w:t>
      </w:r>
      <w:r w:rsidR="00A26090">
        <w:rPr>
          <w:color w:val="000000"/>
          <w:sz w:val="26"/>
          <w:szCs w:val="26"/>
          <w:lang w:val="en-US"/>
        </w:rPr>
        <w:t xml:space="preserve">in force in 2016 </w:t>
      </w:r>
      <w:r w:rsidR="005A1B7D">
        <w:rPr>
          <w:color w:val="000000"/>
          <w:sz w:val="26"/>
          <w:szCs w:val="26"/>
          <w:lang w:val="en-US"/>
        </w:rPr>
        <w:t>[14</w:t>
      </w:r>
      <w:r w:rsidR="00582137" w:rsidRPr="0099200A">
        <w:rPr>
          <w:color w:val="000000"/>
          <w:sz w:val="26"/>
          <w:szCs w:val="26"/>
          <w:lang w:val="en-US"/>
        </w:rPr>
        <w:t>]</w:t>
      </w:r>
      <w:r w:rsidR="00823B84" w:rsidRPr="0099200A">
        <w:rPr>
          <w:color w:val="000000"/>
          <w:sz w:val="26"/>
          <w:szCs w:val="26"/>
          <w:lang w:val="en-US"/>
        </w:rPr>
        <w:t xml:space="preserve">: </w:t>
      </w:r>
    </w:p>
    <w:p w:rsidR="00AC1489" w:rsidRDefault="005567C9" w:rsidP="005567C9">
      <w:pPr>
        <w:pStyle w:val="Paragraphedeliste"/>
        <w:numPr>
          <w:ilvl w:val="0"/>
          <w:numId w:val="11"/>
        </w:numPr>
        <w:jc w:val="both"/>
        <w:rPr>
          <w:color w:val="000000"/>
          <w:sz w:val="26"/>
          <w:szCs w:val="26"/>
          <w:lang w:val="en-US"/>
        </w:rPr>
      </w:pPr>
      <w:r>
        <w:rPr>
          <w:color w:val="000000"/>
          <w:sz w:val="26"/>
          <w:szCs w:val="26"/>
          <w:lang w:val="en-US"/>
        </w:rPr>
        <w:t>T</w:t>
      </w:r>
      <w:r w:rsidR="00823B84" w:rsidRPr="00AC1489">
        <w:rPr>
          <w:color w:val="000000"/>
          <w:sz w:val="26"/>
          <w:szCs w:val="26"/>
          <w:lang w:val="en-US"/>
        </w:rPr>
        <w:t>o set up monitoring of Dutch shellfish production areas for TTX</w:t>
      </w:r>
      <w:r w:rsidR="007F3541" w:rsidRPr="00AC1489">
        <w:rPr>
          <w:color w:val="000000"/>
          <w:sz w:val="26"/>
          <w:szCs w:val="26"/>
          <w:lang w:val="en-US"/>
        </w:rPr>
        <w:t xml:space="preserve"> </w:t>
      </w:r>
      <w:r w:rsidR="00823B84" w:rsidRPr="00AC1489">
        <w:rPr>
          <w:color w:val="000000"/>
          <w:sz w:val="26"/>
          <w:szCs w:val="26"/>
          <w:lang w:val="en-US"/>
        </w:rPr>
        <w:t xml:space="preserve">; </w:t>
      </w:r>
    </w:p>
    <w:p w:rsidR="00241B77" w:rsidRPr="00AC1489" w:rsidRDefault="005567C9" w:rsidP="005567C9">
      <w:pPr>
        <w:pStyle w:val="Paragraphedeliste"/>
        <w:numPr>
          <w:ilvl w:val="0"/>
          <w:numId w:val="11"/>
        </w:numPr>
        <w:jc w:val="both"/>
        <w:rPr>
          <w:color w:val="000000"/>
          <w:sz w:val="26"/>
          <w:szCs w:val="26"/>
          <w:lang w:val="en-US"/>
        </w:rPr>
      </w:pPr>
      <w:r>
        <w:rPr>
          <w:color w:val="000000"/>
          <w:sz w:val="26"/>
          <w:szCs w:val="26"/>
          <w:lang w:val="en-US"/>
        </w:rPr>
        <w:t>A</w:t>
      </w:r>
      <w:r w:rsidR="00823B84" w:rsidRPr="00AC1489">
        <w:rPr>
          <w:color w:val="000000"/>
          <w:sz w:val="26"/>
          <w:szCs w:val="26"/>
          <w:lang w:val="en-US"/>
        </w:rPr>
        <w:t xml:space="preserve">gainst the placing on the market of live bivalve molluscs containing a concentration equal to or greater than 20 </w:t>
      </w:r>
      <w:r w:rsidR="00725516" w:rsidRPr="00C053E7">
        <w:rPr>
          <w:color w:val="000000"/>
          <w:sz w:val="26"/>
          <w:szCs w:val="26"/>
          <w:lang w:val="en-US"/>
        </w:rPr>
        <w:t>µg</w:t>
      </w:r>
      <w:r w:rsidR="00725516">
        <w:rPr>
          <w:color w:val="000000"/>
          <w:sz w:val="26"/>
          <w:szCs w:val="26"/>
          <w:lang w:val="en-US"/>
        </w:rPr>
        <w:t xml:space="preserve"> TTX equivalent</w:t>
      </w:r>
      <w:r w:rsidR="00725516" w:rsidRPr="00C053E7">
        <w:rPr>
          <w:color w:val="000000"/>
          <w:sz w:val="26"/>
          <w:szCs w:val="26"/>
          <w:lang w:val="en-US"/>
        </w:rPr>
        <w:t xml:space="preserve">/kg </w:t>
      </w:r>
      <w:r w:rsidR="00725516">
        <w:rPr>
          <w:color w:val="000000"/>
          <w:sz w:val="26"/>
          <w:szCs w:val="26"/>
          <w:lang w:val="en-US"/>
        </w:rPr>
        <w:t xml:space="preserve">shellfish meat </w:t>
      </w:r>
      <w:r w:rsidR="00823B84" w:rsidRPr="00AC1489">
        <w:rPr>
          <w:color w:val="000000"/>
          <w:sz w:val="26"/>
          <w:szCs w:val="26"/>
          <w:lang w:val="en-US"/>
        </w:rPr>
        <w:t xml:space="preserve">; </w:t>
      </w:r>
      <w:r w:rsidR="007F3541" w:rsidRPr="00AC1489">
        <w:rPr>
          <w:color w:val="000000"/>
          <w:sz w:val="26"/>
          <w:szCs w:val="26"/>
          <w:lang w:val="en-US"/>
        </w:rPr>
        <w:t>this</w:t>
      </w:r>
      <w:r w:rsidR="00823B84" w:rsidRPr="00AC1489">
        <w:rPr>
          <w:color w:val="000000"/>
          <w:sz w:val="26"/>
          <w:szCs w:val="26"/>
          <w:lang w:val="en-US"/>
        </w:rPr>
        <w:t xml:space="preserve"> concentration</w:t>
      </w:r>
      <w:r w:rsidR="00D07242" w:rsidRPr="00AC1489">
        <w:rPr>
          <w:color w:val="000000"/>
          <w:sz w:val="26"/>
          <w:szCs w:val="26"/>
          <w:lang w:val="en-US"/>
        </w:rPr>
        <w:t xml:space="preserve"> is</w:t>
      </w:r>
      <w:r w:rsidR="00823B84" w:rsidRPr="00AC1489">
        <w:rPr>
          <w:color w:val="000000"/>
          <w:sz w:val="26"/>
          <w:szCs w:val="26"/>
          <w:lang w:val="en-US"/>
        </w:rPr>
        <w:t xml:space="preserve"> corresponding to the limit of detection of the TTX by the method "LC - MS"</w:t>
      </w:r>
      <w:r w:rsidR="005A1B7D">
        <w:rPr>
          <w:color w:val="000000"/>
          <w:sz w:val="26"/>
          <w:szCs w:val="26"/>
          <w:lang w:val="en-US"/>
        </w:rPr>
        <w:t xml:space="preserve"> (Dutch method) [15</w:t>
      </w:r>
      <w:r w:rsidR="00CC0A93">
        <w:rPr>
          <w:color w:val="000000"/>
          <w:sz w:val="26"/>
          <w:szCs w:val="26"/>
          <w:lang w:val="en-US"/>
        </w:rPr>
        <w:t>].</w:t>
      </w:r>
      <w:r w:rsidR="00823B84" w:rsidRPr="00AC1489">
        <w:rPr>
          <w:color w:val="000000"/>
          <w:sz w:val="26"/>
          <w:szCs w:val="26"/>
          <w:lang w:val="en-US"/>
        </w:rPr>
        <w:t xml:space="preserve"> </w:t>
      </w:r>
    </w:p>
    <w:p w:rsidR="00823B84" w:rsidRDefault="00823B84" w:rsidP="00F115A4">
      <w:pPr>
        <w:autoSpaceDE w:val="0"/>
        <w:autoSpaceDN w:val="0"/>
        <w:adjustRightInd w:val="0"/>
        <w:spacing w:line="240" w:lineRule="auto"/>
        <w:jc w:val="both"/>
        <w:rPr>
          <w:sz w:val="26"/>
          <w:szCs w:val="26"/>
          <w:lang w:val="en-US"/>
        </w:rPr>
      </w:pPr>
      <w:r w:rsidRPr="000E0183">
        <w:rPr>
          <w:sz w:val="26"/>
          <w:szCs w:val="26"/>
          <w:lang w:val="en-US"/>
        </w:rPr>
        <w:t xml:space="preserve">In their motion of May 3, 2016, to members of the Working </w:t>
      </w:r>
      <w:r w:rsidR="00A26090">
        <w:rPr>
          <w:sz w:val="26"/>
          <w:szCs w:val="26"/>
          <w:lang w:val="en-US"/>
        </w:rPr>
        <w:t>Group “Live bivalve molluscs”, t</w:t>
      </w:r>
      <w:r w:rsidRPr="000E0183">
        <w:rPr>
          <w:sz w:val="26"/>
          <w:szCs w:val="26"/>
          <w:lang w:val="en-US"/>
        </w:rPr>
        <w:t xml:space="preserve">he Netherlands wish to extend to the European Member States the </w:t>
      </w:r>
      <w:r w:rsidRPr="00C053E7">
        <w:rPr>
          <w:sz w:val="26"/>
          <w:szCs w:val="26"/>
          <w:lang w:val="en-US"/>
        </w:rPr>
        <w:t xml:space="preserve">measures </w:t>
      </w:r>
      <w:r w:rsidR="00F975B7" w:rsidRPr="00C053E7">
        <w:rPr>
          <w:sz w:val="26"/>
          <w:szCs w:val="26"/>
          <w:lang w:val="en-US"/>
        </w:rPr>
        <w:t>taken</w:t>
      </w:r>
      <w:r w:rsidRPr="000E0183">
        <w:rPr>
          <w:sz w:val="26"/>
          <w:szCs w:val="26"/>
          <w:lang w:val="en-US"/>
        </w:rPr>
        <w:t xml:space="preserve"> by the NVWA. These mea</w:t>
      </w:r>
      <w:r w:rsidR="00A26090">
        <w:rPr>
          <w:sz w:val="26"/>
          <w:szCs w:val="26"/>
          <w:lang w:val="en-US"/>
        </w:rPr>
        <w:t>sures are overly stringent</w:t>
      </w:r>
      <w:r w:rsidR="002F38A2">
        <w:rPr>
          <w:sz w:val="26"/>
          <w:szCs w:val="26"/>
          <w:lang w:val="en-US"/>
        </w:rPr>
        <w:t xml:space="preserve"> but not based on practical experience on illness</w:t>
      </w:r>
      <w:r w:rsidR="00A26090">
        <w:rPr>
          <w:sz w:val="26"/>
          <w:szCs w:val="26"/>
          <w:lang w:val="en-US"/>
        </w:rPr>
        <w:t>. If t</w:t>
      </w:r>
      <w:r w:rsidRPr="000E0183">
        <w:rPr>
          <w:sz w:val="26"/>
          <w:szCs w:val="26"/>
          <w:lang w:val="en-US"/>
        </w:rPr>
        <w:t>h</w:t>
      </w:r>
      <w:r w:rsidR="002F38A2">
        <w:rPr>
          <w:sz w:val="26"/>
          <w:szCs w:val="26"/>
          <w:lang w:val="en-US"/>
        </w:rPr>
        <w:t>is will become</w:t>
      </w:r>
      <w:r w:rsidRPr="000E0183">
        <w:rPr>
          <w:sz w:val="26"/>
          <w:szCs w:val="26"/>
          <w:lang w:val="en-US"/>
        </w:rPr>
        <w:t xml:space="preserve"> EU rules, Dutch trading companies can ask the produc</w:t>
      </w:r>
      <w:r w:rsidR="00A26090">
        <w:rPr>
          <w:sz w:val="26"/>
          <w:szCs w:val="26"/>
          <w:lang w:val="en-US"/>
        </w:rPr>
        <w:t>ers of the States exporting to t</w:t>
      </w:r>
      <w:r w:rsidRPr="000E0183">
        <w:rPr>
          <w:sz w:val="26"/>
          <w:szCs w:val="26"/>
          <w:lang w:val="en-US"/>
        </w:rPr>
        <w:t xml:space="preserve">he Netherlands to certify the absence of TTX in their oysters and their mussels prior to any purchase. This certificate must be provided by a recognized laboratory according to the </w:t>
      </w:r>
      <w:r w:rsidR="00C053E7">
        <w:rPr>
          <w:sz w:val="26"/>
          <w:szCs w:val="26"/>
          <w:lang w:val="en-US"/>
        </w:rPr>
        <w:t xml:space="preserve">method </w:t>
      </w:r>
      <w:r w:rsidR="00C053E7" w:rsidRPr="00C053E7">
        <w:rPr>
          <w:color w:val="000000"/>
          <w:sz w:val="26"/>
          <w:szCs w:val="26"/>
          <w:lang w:val="en-US"/>
        </w:rPr>
        <w:t>"LC - MS"</w:t>
      </w:r>
      <w:r w:rsidR="00C053E7">
        <w:rPr>
          <w:color w:val="000000"/>
          <w:sz w:val="26"/>
          <w:szCs w:val="26"/>
          <w:lang w:val="en-US"/>
        </w:rPr>
        <w:t xml:space="preserve"> </w:t>
      </w:r>
      <w:r w:rsidR="0009435D">
        <w:rPr>
          <w:color w:val="000000"/>
          <w:sz w:val="26"/>
          <w:szCs w:val="26"/>
          <w:lang w:val="en-US"/>
        </w:rPr>
        <w:t>w</w:t>
      </w:r>
      <w:r w:rsidR="00191C1E">
        <w:rPr>
          <w:sz w:val="26"/>
          <w:szCs w:val="26"/>
          <w:lang w:val="en-US"/>
        </w:rPr>
        <w:t xml:space="preserve">hereas </w:t>
      </w:r>
      <w:r w:rsidRPr="000E0183">
        <w:rPr>
          <w:sz w:val="26"/>
          <w:szCs w:val="26"/>
          <w:lang w:val="en-US"/>
        </w:rPr>
        <w:t xml:space="preserve">the analysis is </w:t>
      </w:r>
      <w:r w:rsidR="00D07242" w:rsidRPr="00C053E7">
        <w:rPr>
          <w:sz w:val="26"/>
          <w:szCs w:val="26"/>
          <w:lang w:val="en-US"/>
        </w:rPr>
        <w:t>not validated</w:t>
      </w:r>
      <w:r w:rsidR="002F38A2">
        <w:rPr>
          <w:sz w:val="26"/>
          <w:szCs w:val="26"/>
          <w:lang w:val="en-US"/>
        </w:rPr>
        <w:t xml:space="preserve"> in Europe</w:t>
      </w:r>
      <w:r w:rsidRPr="00C053E7">
        <w:rPr>
          <w:sz w:val="26"/>
          <w:szCs w:val="26"/>
          <w:lang w:val="en-US"/>
        </w:rPr>
        <w:t xml:space="preserve">. </w:t>
      </w:r>
    </w:p>
    <w:p w:rsidR="008B464E" w:rsidRPr="008B464E" w:rsidRDefault="0099200A" w:rsidP="00A26090">
      <w:pPr>
        <w:autoSpaceDE w:val="0"/>
        <w:autoSpaceDN w:val="0"/>
        <w:adjustRightInd w:val="0"/>
        <w:spacing w:line="240" w:lineRule="auto"/>
        <w:ind w:firstLine="708"/>
        <w:jc w:val="both"/>
        <w:rPr>
          <w:sz w:val="26"/>
          <w:szCs w:val="26"/>
          <w:lang w:val="en-US"/>
        </w:rPr>
      </w:pPr>
      <w:r>
        <w:rPr>
          <w:sz w:val="26"/>
          <w:szCs w:val="26"/>
          <w:lang w:val="en-US"/>
        </w:rPr>
        <w:t>T</w:t>
      </w:r>
      <w:r w:rsidR="00823B84" w:rsidRPr="0099200A">
        <w:rPr>
          <w:sz w:val="26"/>
          <w:szCs w:val="26"/>
          <w:lang w:val="en-US"/>
        </w:rPr>
        <w:t xml:space="preserve">oxicological data on TTX is limited, making it difficult to identify the risks and </w:t>
      </w:r>
      <w:r w:rsidR="00515031" w:rsidRPr="0099200A">
        <w:rPr>
          <w:sz w:val="26"/>
          <w:szCs w:val="26"/>
          <w:lang w:val="en-US"/>
        </w:rPr>
        <w:t>to propose</w:t>
      </w:r>
      <w:r w:rsidR="00823B84" w:rsidRPr="0099200A">
        <w:rPr>
          <w:sz w:val="26"/>
          <w:szCs w:val="26"/>
          <w:lang w:val="en-US"/>
        </w:rPr>
        <w:t xml:space="preserve"> regulatory threshold. </w:t>
      </w:r>
      <w:r w:rsidRPr="0099200A">
        <w:rPr>
          <w:sz w:val="26"/>
          <w:szCs w:val="26"/>
          <w:lang w:val="en-US"/>
        </w:rPr>
        <w:t xml:space="preserve">Further research on TTX </w:t>
      </w:r>
      <w:r w:rsidR="002F38A2">
        <w:rPr>
          <w:sz w:val="26"/>
          <w:szCs w:val="26"/>
          <w:lang w:val="en-US"/>
        </w:rPr>
        <w:t xml:space="preserve">is required </w:t>
      </w:r>
      <w:r w:rsidRPr="0099200A">
        <w:rPr>
          <w:sz w:val="26"/>
          <w:szCs w:val="26"/>
          <w:lang w:val="en-US"/>
        </w:rPr>
        <w:t xml:space="preserve">to take </w:t>
      </w:r>
      <w:r w:rsidR="002F38A2">
        <w:rPr>
          <w:sz w:val="26"/>
          <w:szCs w:val="26"/>
          <w:lang w:val="en-US"/>
        </w:rPr>
        <w:t xml:space="preserve">evidence based effective </w:t>
      </w:r>
      <w:r w:rsidRPr="0099200A">
        <w:rPr>
          <w:sz w:val="26"/>
          <w:szCs w:val="26"/>
          <w:lang w:val="en-US"/>
        </w:rPr>
        <w:t>restrictive measures</w:t>
      </w:r>
      <w:r w:rsidR="002F38A2">
        <w:rPr>
          <w:sz w:val="26"/>
          <w:szCs w:val="26"/>
          <w:lang w:val="en-US"/>
        </w:rPr>
        <w:t xml:space="preserve">, of course for the health of the consumers but also to the </w:t>
      </w:r>
      <w:r w:rsidRPr="0099200A">
        <w:rPr>
          <w:sz w:val="26"/>
          <w:szCs w:val="26"/>
          <w:lang w:val="en-US"/>
        </w:rPr>
        <w:t>economic consequences</w:t>
      </w:r>
      <w:r w:rsidR="002F38A2">
        <w:rPr>
          <w:sz w:val="26"/>
          <w:szCs w:val="26"/>
          <w:lang w:val="en-US"/>
        </w:rPr>
        <w:t xml:space="preserve"> of these </w:t>
      </w:r>
      <w:r w:rsidR="00A9732F">
        <w:rPr>
          <w:sz w:val="26"/>
          <w:szCs w:val="26"/>
          <w:lang w:val="en-US"/>
        </w:rPr>
        <w:t>“</w:t>
      </w:r>
      <w:r w:rsidR="002F38A2">
        <w:rPr>
          <w:sz w:val="26"/>
          <w:szCs w:val="26"/>
          <w:lang w:val="en-US"/>
        </w:rPr>
        <w:t>unfounded epidemic</w:t>
      </w:r>
      <w:r w:rsidR="00A9732F">
        <w:rPr>
          <w:sz w:val="26"/>
          <w:szCs w:val="26"/>
          <w:lang w:val="en-US"/>
        </w:rPr>
        <w:t>”</w:t>
      </w:r>
      <w:r w:rsidR="002F38A2">
        <w:rPr>
          <w:sz w:val="26"/>
          <w:szCs w:val="26"/>
          <w:lang w:val="en-US"/>
        </w:rPr>
        <w:t>.</w:t>
      </w:r>
      <w:r w:rsidRPr="000E0183">
        <w:rPr>
          <w:sz w:val="26"/>
          <w:szCs w:val="26"/>
          <w:lang w:val="en-US"/>
        </w:rPr>
        <w:t xml:space="preserve"> </w:t>
      </w:r>
    </w:p>
    <w:p w:rsidR="00823B84" w:rsidRPr="0099200A" w:rsidRDefault="00823B84" w:rsidP="00C94331">
      <w:pPr>
        <w:autoSpaceDE w:val="0"/>
        <w:autoSpaceDN w:val="0"/>
        <w:adjustRightInd w:val="0"/>
        <w:spacing w:line="240" w:lineRule="auto"/>
        <w:ind w:firstLine="708"/>
        <w:jc w:val="both"/>
        <w:rPr>
          <w:sz w:val="26"/>
          <w:szCs w:val="26"/>
          <w:lang w:val="en-US"/>
        </w:rPr>
      </w:pPr>
      <w:r w:rsidRPr="000E0183">
        <w:rPr>
          <w:sz w:val="26"/>
          <w:szCs w:val="26"/>
          <w:lang w:val="en-US"/>
        </w:rPr>
        <w:t>With the support of NVWA</w:t>
      </w:r>
      <w:r w:rsidR="0099200A">
        <w:rPr>
          <w:sz w:val="26"/>
          <w:szCs w:val="26"/>
          <w:lang w:val="en-US"/>
        </w:rPr>
        <w:t>,</w:t>
      </w:r>
      <w:r w:rsidRPr="000E0183">
        <w:rPr>
          <w:sz w:val="26"/>
          <w:szCs w:val="26"/>
          <w:lang w:val="en-US"/>
        </w:rPr>
        <w:t xml:space="preserve"> DG HEALTH of the European Commission asked on June 15, 2016 the European food safety authority (</w:t>
      </w:r>
      <w:r w:rsidRPr="0099200A">
        <w:rPr>
          <w:sz w:val="26"/>
          <w:szCs w:val="26"/>
          <w:lang w:val="en-US"/>
        </w:rPr>
        <w:t xml:space="preserve">EFSA) to prepare a scientific opinion on: </w:t>
      </w:r>
    </w:p>
    <w:p w:rsidR="00823B84" w:rsidRPr="0099200A" w:rsidRDefault="0099200A" w:rsidP="0099200A">
      <w:pPr>
        <w:pStyle w:val="Paragraphedeliste"/>
        <w:numPr>
          <w:ilvl w:val="0"/>
          <w:numId w:val="9"/>
        </w:numPr>
        <w:autoSpaceDE w:val="0"/>
        <w:autoSpaceDN w:val="0"/>
        <w:adjustRightInd w:val="0"/>
        <w:spacing w:after="66" w:line="240" w:lineRule="auto"/>
        <w:jc w:val="both"/>
        <w:rPr>
          <w:sz w:val="26"/>
          <w:szCs w:val="26"/>
          <w:lang w:val="en-US"/>
        </w:rPr>
      </w:pPr>
      <w:r w:rsidRPr="0099200A">
        <w:rPr>
          <w:sz w:val="26"/>
          <w:szCs w:val="26"/>
          <w:lang w:val="en-US"/>
        </w:rPr>
        <w:t>P</w:t>
      </w:r>
      <w:r w:rsidR="00823B84" w:rsidRPr="0099200A">
        <w:rPr>
          <w:sz w:val="26"/>
          <w:szCs w:val="26"/>
          <w:lang w:val="en-US"/>
        </w:rPr>
        <w:t>resen</w:t>
      </w:r>
      <w:r w:rsidR="00515031" w:rsidRPr="0099200A">
        <w:rPr>
          <w:sz w:val="26"/>
          <w:szCs w:val="26"/>
          <w:lang w:val="en-US"/>
        </w:rPr>
        <w:t>ce, accumulation and toxicity for</w:t>
      </w:r>
      <w:r w:rsidR="00823B84" w:rsidRPr="0099200A">
        <w:rPr>
          <w:sz w:val="26"/>
          <w:szCs w:val="26"/>
          <w:lang w:val="en-US"/>
        </w:rPr>
        <w:t xml:space="preserve"> humans of TTX and its analogues </w:t>
      </w:r>
      <w:r w:rsidR="00515031" w:rsidRPr="0099200A">
        <w:rPr>
          <w:sz w:val="26"/>
          <w:szCs w:val="26"/>
          <w:lang w:val="en-US"/>
        </w:rPr>
        <w:t>found</w:t>
      </w:r>
      <w:r w:rsidR="00823B84" w:rsidRPr="0099200A">
        <w:rPr>
          <w:sz w:val="26"/>
          <w:szCs w:val="26"/>
          <w:lang w:val="en-US"/>
        </w:rPr>
        <w:t xml:space="preserve"> in bivalve m</w:t>
      </w:r>
      <w:r w:rsidR="00515031" w:rsidRPr="0099200A">
        <w:rPr>
          <w:sz w:val="26"/>
          <w:szCs w:val="26"/>
          <w:lang w:val="en-US"/>
        </w:rPr>
        <w:t>olluscs and marine gastropods in</w:t>
      </w:r>
      <w:r w:rsidR="00823B84" w:rsidRPr="0099200A">
        <w:rPr>
          <w:sz w:val="26"/>
          <w:szCs w:val="26"/>
          <w:lang w:val="en-US"/>
        </w:rPr>
        <w:t xml:space="preserve"> and out</w:t>
      </w:r>
      <w:r w:rsidR="00515031" w:rsidRPr="0099200A">
        <w:rPr>
          <w:sz w:val="26"/>
          <w:szCs w:val="26"/>
          <w:lang w:val="en-US"/>
        </w:rPr>
        <w:t>side</w:t>
      </w:r>
      <w:r w:rsidR="00823B84" w:rsidRPr="0099200A">
        <w:rPr>
          <w:sz w:val="26"/>
          <w:szCs w:val="26"/>
          <w:lang w:val="en-US"/>
        </w:rPr>
        <w:t xml:space="preserve"> the European waters, including wher</w:t>
      </w:r>
      <w:r w:rsidR="00515031" w:rsidRPr="0099200A">
        <w:rPr>
          <w:sz w:val="26"/>
          <w:szCs w:val="26"/>
          <w:lang w:val="en-US"/>
        </w:rPr>
        <w:t xml:space="preserve">e possible the establishment of </w:t>
      </w:r>
      <w:r w:rsidR="00823B84" w:rsidRPr="0099200A">
        <w:rPr>
          <w:sz w:val="26"/>
          <w:szCs w:val="26"/>
          <w:lang w:val="en-US"/>
        </w:rPr>
        <w:t>toxicity</w:t>
      </w:r>
      <w:r w:rsidR="00515031" w:rsidRPr="0099200A">
        <w:rPr>
          <w:sz w:val="26"/>
          <w:szCs w:val="26"/>
          <w:lang w:val="en-US"/>
        </w:rPr>
        <w:t xml:space="preserve"> threshold</w:t>
      </w:r>
      <w:r w:rsidRPr="0099200A">
        <w:rPr>
          <w:sz w:val="26"/>
          <w:szCs w:val="26"/>
          <w:lang w:val="en-US"/>
        </w:rPr>
        <w:t xml:space="preserve"> </w:t>
      </w:r>
      <w:r w:rsidR="005A1B7D">
        <w:rPr>
          <w:sz w:val="26"/>
          <w:szCs w:val="26"/>
          <w:lang w:val="en-US"/>
        </w:rPr>
        <w:t>[16</w:t>
      </w:r>
      <w:r>
        <w:rPr>
          <w:sz w:val="26"/>
          <w:szCs w:val="26"/>
          <w:lang w:val="en-US"/>
        </w:rPr>
        <w:t xml:space="preserve">] </w:t>
      </w:r>
      <w:r w:rsidR="00823B84" w:rsidRPr="0099200A">
        <w:rPr>
          <w:sz w:val="26"/>
          <w:szCs w:val="26"/>
          <w:lang w:val="en-US"/>
        </w:rPr>
        <w:t xml:space="preserve">; </w:t>
      </w:r>
    </w:p>
    <w:p w:rsidR="00823B84" w:rsidRPr="0099200A" w:rsidRDefault="0099200A" w:rsidP="0099200A">
      <w:pPr>
        <w:pStyle w:val="Paragraphedeliste"/>
        <w:numPr>
          <w:ilvl w:val="0"/>
          <w:numId w:val="9"/>
        </w:numPr>
        <w:autoSpaceDE w:val="0"/>
        <w:autoSpaceDN w:val="0"/>
        <w:adjustRightInd w:val="0"/>
        <w:spacing w:line="240" w:lineRule="auto"/>
        <w:ind w:left="714" w:hanging="357"/>
        <w:jc w:val="both"/>
        <w:rPr>
          <w:sz w:val="26"/>
          <w:szCs w:val="26"/>
          <w:lang w:val="en-US"/>
        </w:rPr>
      </w:pPr>
      <w:r w:rsidRPr="0099200A">
        <w:rPr>
          <w:sz w:val="26"/>
          <w:szCs w:val="26"/>
          <w:lang w:val="en-US"/>
        </w:rPr>
        <w:t>T</w:t>
      </w:r>
      <w:r w:rsidR="00823B84" w:rsidRPr="0099200A">
        <w:rPr>
          <w:sz w:val="26"/>
          <w:szCs w:val="26"/>
          <w:lang w:val="en-US"/>
        </w:rPr>
        <w:t>he most effective method that could be used to detect and quantify this group of toxins, including settings such as a limit of detecti</w:t>
      </w:r>
      <w:r>
        <w:rPr>
          <w:sz w:val="26"/>
          <w:szCs w:val="26"/>
          <w:lang w:val="en-US"/>
        </w:rPr>
        <w:t>on and limit of quantification [</w:t>
      </w:r>
      <w:r w:rsidR="005A1B7D">
        <w:rPr>
          <w:sz w:val="26"/>
          <w:szCs w:val="26"/>
          <w:lang w:val="en-US"/>
        </w:rPr>
        <w:t>16</w:t>
      </w:r>
      <w:r>
        <w:rPr>
          <w:sz w:val="26"/>
          <w:szCs w:val="26"/>
          <w:lang w:val="en-US"/>
        </w:rPr>
        <w:t>]</w:t>
      </w:r>
      <w:r w:rsidR="00823B84" w:rsidRPr="0099200A">
        <w:rPr>
          <w:sz w:val="26"/>
          <w:szCs w:val="26"/>
          <w:lang w:val="en-US"/>
        </w:rPr>
        <w:t xml:space="preserve">. </w:t>
      </w:r>
    </w:p>
    <w:p w:rsidR="00823B84" w:rsidRPr="009F665C" w:rsidRDefault="00823B84" w:rsidP="00F115A4">
      <w:pPr>
        <w:autoSpaceDE w:val="0"/>
        <w:autoSpaceDN w:val="0"/>
        <w:adjustRightInd w:val="0"/>
        <w:spacing w:line="240" w:lineRule="auto"/>
        <w:jc w:val="both"/>
        <w:rPr>
          <w:sz w:val="26"/>
          <w:szCs w:val="26"/>
          <w:lang w:val="en-US"/>
        </w:rPr>
      </w:pPr>
      <w:r w:rsidRPr="009F665C">
        <w:rPr>
          <w:sz w:val="26"/>
          <w:szCs w:val="26"/>
          <w:lang w:val="en-US"/>
        </w:rPr>
        <w:t>EFSA accepted this request on July 26, 2016 and provide a scientific opinion entitled “Risks for public health related to the presence of tetrodotoxin (TTX) and TTX analogues in marine bivalves and</w:t>
      </w:r>
      <w:r w:rsidR="0099200A">
        <w:rPr>
          <w:sz w:val="26"/>
          <w:szCs w:val="26"/>
          <w:lang w:val="en-US"/>
        </w:rPr>
        <w:t xml:space="preserve"> gastropods” on April 20, 2017 [</w:t>
      </w:r>
      <w:r w:rsidR="005A1B7D">
        <w:rPr>
          <w:sz w:val="26"/>
          <w:szCs w:val="26"/>
          <w:lang w:val="en-US"/>
        </w:rPr>
        <w:t>17</w:t>
      </w:r>
      <w:r w:rsidR="0099200A">
        <w:rPr>
          <w:sz w:val="26"/>
          <w:szCs w:val="26"/>
          <w:lang w:val="en-US"/>
        </w:rPr>
        <w:t>]</w:t>
      </w:r>
      <w:r w:rsidRPr="009F665C">
        <w:rPr>
          <w:sz w:val="26"/>
          <w:szCs w:val="26"/>
          <w:lang w:val="en-US"/>
        </w:rPr>
        <w:t>.</w:t>
      </w:r>
    </w:p>
    <w:p w:rsidR="00823B84" w:rsidRPr="009F665C" w:rsidRDefault="00823B84" w:rsidP="00F115A4">
      <w:pPr>
        <w:autoSpaceDE w:val="0"/>
        <w:autoSpaceDN w:val="0"/>
        <w:adjustRightInd w:val="0"/>
        <w:spacing w:line="240" w:lineRule="auto"/>
        <w:jc w:val="both"/>
        <w:rPr>
          <w:sz w:val="26"/>
          <w:szCs w:val="26"/>
          <w:lang w:val="en-US"/>
        </w:rPr>
      </w:pPr>
      <w:r w:rsidRPr="009F665C">
        <w:rPr>
          <w:sz w:val="26"/>
          <w:szCs w:val="26"/>
          <w:lang w:val="en-US"/>
        </w:rPr>
        <w:t>1,677 samples of bivalves</w:t>
      </w:r>
      <w:r>
        <w:rPr>
          <w:sz w:val="26"/>
          <w:szCs w:val="26"/>
          <w:lang w:val="en-US"/>
        </w:rPr>
        <w:t xml:space="preserve"> collected between 2006 and 2016</w:t>
      </w:r>
      <w:r w:rsidRPr="009F665C">
        <w:rPr>
          <w:sz w:val="26"/>
          <w:szCs w:val="26"/>
          <w:lang w:val="en-US"/>
        </w:rPr>
        <w:t xml:space="preserve"> were submitted to EFSA by </w:t>
      </w:r>
      <w:r w:rsidR="00F5586A">
        <w:rPr>
          <w:sz w:val="26"/>
          <w:szCs w:val="26"/>
          <w:lang w:val="en-US"/>
        </w:rPr>
        <w:t>The United Kingdom, Greece and t</w:t>
      </w:r>
      <w:r w:rsidRPr="009F665C">
        <w:rPr>
          <w:sz w:val="26"/>
          <w:szCs w:val="26"/>
          <w:lang w:val="en-US"/>
        </w:rPr>
        <w:t>he Netherlands, including mussels, oysters, cockles, clams, scallops and razor clams. In 92 % of the samples,</w:t>
      </w:r>
      <w:r w:rsidR="00015B3C">
        <w:rPr>
          <w:sz w:val="26"/>
          <w:szCs w:val="26"/>
          <w:lang w:val="en-US"/>
        </w:rPr>
        <w:t xml:space="preserve"> by using the </w:t>
      </w:r>
      <w:r w:rsidR="00AC15B2">
        <w:rPr>
          <w:sz w:val="26"/>
          <w:szCs w:val="26"/>
          <w:lang w:val="en-US"/>
        </w:rPr>
        <w:t>LC-MS method,</w:t>
      </w:r>
      <w:r w:rsidRPr="009F665C">
        <w:rPr>
          <w:sz w:val="26"/>
          <w:szCs w:val="26"/>
          <w:lang w:val="en-US"/>
        </w:rPr>
        <w:t xml:space="preserve"> TTX was not detected or quantified, with lim</w:t>
      </w:r>
      <w:r w:rsidR="005567C9">
        <w:rPr>
          <w:sz w:val="26"/>
          <w:szCs w:val="26"/>
          <w:lang w:val="en-US"/>
        </w:rPr>
        <w:t>its of detection ranging from 0,</w:t>
      </w:r>
      <w:r w:rsidRPr="009F665C">
        <w:rPr>
          <w:sz w:val="26"/>
          <w:szCs w:val="26"/>
          <w:lang w:val="en-US"/>
        </w:rPr>
        <w:t xml:space="preserve">5 to 5 </w:t>
      </w:r>
      <w:r w:rsidR="00725516" w:rsidRPr="00C053E7">
        <w:rPr>
          <w:color w:val="000000"/>
          <w:sz w:val="26"/>
          <w:szCs w:val="26"/>
          <w:lang w:val="en-US"/>
        </w:rPr>
        <w:t>µg</w:t>
      </w:r>
      <w:r w:rsidR="00725516">
        <w:rPr>
          <w:color w:val="000000"/>
          <w:sz w:val="26"/>
          <w:szCs w:val="26"/>
          <w:lang w:val="en-US"/>
        </w:rPr>
        <w:t xml:space="preserve"> TTX equivalent</w:t>
      </w:r>
      <w:r w:rsidR="00725516" w:rsidRPr="00C053E7">
        <w:rPr>
          <w:color w:val="000000"/>
          <w:sz w:val="26"/>
          <w:szCs w:val="26"/>
          <w:lang w:val="en-US"/>
        </w:rPr>
        <w:t xml:space="preserve">/kg </w:t>
      </w:r>
      <w:r w:rsidR="00725516">
        <w:rPr>
          <w:color w:val="000000"/>
          <w:sz w:val="26"/>
          <w:szCs w:val="26"/>
          <w:lang w:val="en-US"/>
        </w:rPr>
        <w:t xml:space="preserve">shellfish meat </w:t>
      </w:r>
      <w:r w:rsidRPr="009F665C">
        <w:rPr>
          <w:sz w:val="26"/>
          <w:szCs w:val="26"/>
          <w:lang w:val="en-US"/>
        </w:rPr>
        <w:t xml:space="preserve">and limits of quantification ranging from 1 to 25 </w:t>
      </w:r>
      <w:r w:rsidRPr="009F665C">
        <w:rPr>
          <w:sz w:val="26"/>
          <w:szCs w:val="26"/>
        </w:rPr>
        <w:t>μ</w:t>
      </w:r>
      <w:r w:rsidRPr="009F665C">
        <w:rPr>
          <w:sz w:val="26"/>
          <w:szCs w:val="26"/>
          <w:lang w:val="en-US"/>
        </w:rPr>
        <w:t>g/kg. TTX an</w:t>
      </w:r>
      <w:r w:rsidR="00515031">
        <w:rPr>
          <w:sz w:val="26"/>
          <w:szCs w:val="26"/>
          <w:lang w:val="en-US"/>
        </w:rPr>
        <w:t xml:space="preserve">alogues were detected in </w:t>
      </w:r>
      <w:r w:rsidR="00515031" w:rsidRPr="0099200A">
        <w:rPr>
          <w:sz w:val="26"/>
          <w:szCs w:val="26"/>
          <w:lang w:val="en-US"/>
        </w:rPr>
        <w:t>about 5</w:t>
      </w:r>
      <w:r w:rsidRPr="0099200A">
        <w:rPr>
          <w:sz w:val="26"/>
          <w:szCs w:val="26"/>
          <w:lang w:val="en-US"/>
        </w:rPr>
        <w:t xml:space="preserve"> %</w:t>
      </w:r>
      <w:r w:rsidRPr="009F665C">
        <w:rPr>
          <w:sz w:val="26"/>
          <w:szCs w:val="26"/>
          <w:lang w:val="en-US"/>
        </w:rPr>
        <w:t xml:space="preserve"> of the samples</w:t>
      </w:r>
      <w:r w:rsidR="005A1B7D">
        <w:rPr>
          <w:sz w:val="26"/>
          <w:szCs w:val="26"/>
          <w:lang w:val="en-US"/>
        </w:rPr>
        <w:t xml:space="preserve"> [17</w:t>
      </w:r>
      <w:r w:rsidR="00015B3C">
        <w:rPr>
          <w:sz w:val="26"/>
          <w:szCs w:val="26"/>
          <w:lang w:val="en-US"/>
        </w:rPr>
        <w:t>, Part 3.3</w:t>
      </w:r>
      <w:r w:rsidR="000B5DE5">
        <w:rPr>
          <w:sz w:val="26"/>
          <w:szCs w:val="26"/>
          <w:lang w:val="en-US"/>
        </w:rPr>
        <w:t>]</w:t>
      </w:r>
      <w:r w:rsidRPr="009F665C">
        <w:rPr>
          <w:sz w:val="26"/>
          <w:szCs w:val="26"/>
          <w:lang w:val="en-US"/>
        </w:rPr>
        <w:t>.</w:t>
      </w:r>
    </w:p>
    <w:p w:rsidR="00823B84" w:rsidRDefault="00823B84" w:rsidP="00F115A4">
      <w:pPr>
        <w:autoSpaceDE w:val="0"/>
        <w:autoSpaceDN w:val="0"/>
        <w:adjustRightInd w:val="0"/>
        <w:spacing w:line="240" w:lineRule="auto"/>
        <w:jc w:val="both"/>
        <w:rPr>
          <w:sz w:val="26"/>
          <w:szCs w:val="26"/>
          <w:lang w:val="en-US"/>
        </w:rPr>
      </w:pPr>
      <w:r w:rsidRPr="009F665C">
        <w:rPr>
          <w:sz w:val="26"/>
          <w:szCs w:val="26"/>
          <w:lang w:val="en-US"/>
        </w:rPr>
        <w:t xml:space="preserve">Based on a large portion size </w:t>
      </w:r>
      <w:r w:rsidR="005567C9">
        <w:rPr>
          <w:sz w:val="26"/>
          <w:szCs w:val="26"/>
          <w:lang w:val="en-US"/>
        </w:rPr>
        <w:t xml:space="preserve">of shellfish meat </w:t>
      </w:r>
      <w:r w:rsidRPr="009F665C">
        <w:rPr>
          <w:sz w:val="26"/>
          <w:szCs w:val="26"/>
          <w:lang w:val="en-US"/>
        </w:rPr>
        <w:t xml:space="preserve">(400g), an adult body weight of 70 kg and a group ARfD </w:t>
      </w:r>
      <w:r w:rsidR="006251E0" w:rsidRPr="00E67DA1">
        <w:rPr>
          <w:sz w:val="26"/>
          <w:szCs w:val="26"/>
          <w:lang w:val="en-US"/>
        </w:rPr>
        <w:t>(Acute Reference Dose)</w:t>
      </w:r>
      <w:r w:rsidR="006251E0">
        <w:rPr>
          <w:sz w:val="26"/>
          <w:szCs w:val="26"/>
          <w:lang w:val="en-US"/>
        </w:rPr>
        <w:t xml:space="preserve"> </w:t>
      </w:r>
      <w:r w:rsidR="005567C9">
        <w:rPr>
          <w:sz w:val="26"/>
          <w:szCs w:val="26"/>
          <w:lang w:val="en-US"/>
        </w:rPr>
        <w:t>of 0,</w:t>
      </w:r>
      <w:r w:rsidRPr="009F665C">
        <w:rPr>
          <w:sz w:val="26"/>
          <w:szCs w:val="26"/>
          <w:lang w:val="en-US"/>
        </w:rPr>
        <w:t xml:space="preserve">25 </w:t>
      </w:r>
      <w:r w:rsidRPr="009F665C">
        <w:rPr>
          <w:sz w:val="26"/>
          <w:szCs w:val="26"/>
        </w:rPr>
        <w:t>μ</w:t>
      </w:r>
      <w:r w:rsidRPr="009F665C">
        <w:rPr>
          <w:sz w:val="26"/>
          <w:szCs w:val="26"/>
          <w:lang w:val="en-US"/>
        </w:rPr>
        <w:t>g TTX</w:t>
      </w:r>
      <w:r w:rsidR="00725516">
        <w:rPr>
          <w:sz w:val="26"/>
          <w:szCs w:val="26"/>
          <w:lang w:val="en-US"/>
        </w:rPr>
        <w:t xml:space="preserve"> e</w:t>
      </w:r>
      <w:r w:rsidR="00F20936">
        <w:rPr>
          <w:sz w:val="26"/>
          <w:szCs w:val="26"/>
          <w:lang w:val="en-US"/>
        </w:rPr>
        <w:t>q</w:t>
      </w:r>
      <w:r w:rsidR="00725516">
        <w:rPr>
          <w:sz w:val="26"/>
          <w:szCs w:val="26"/>
          <w:lang w:val="en-US"/>
        </w:rPr>
        <w:t>uivalent</w:t>
      </w:r>
      <w:r w:rsidRPr="009F665C">
        <w:rPr>
          <w:sz w:val="26"/>
          <w:szCs w:val="26"/>
          <w:lang w:val="en-US"/>
        </w:rPr>
        <w:t xml:space="preserve">/kg body weight, the EFSA Panel on Contaminants in the Food Chain (CONTAM Panel) concluded that a concentration lower than 44 </w:t>
      </w:r>
      <w:r w:rsidRPr="009F665C">
        <w:rPr>
          <w:sz w:val="26"/>
          <w:szCs w:val="26"/>
        </w:rPr>
        <w:t>μ</w:t>
      </w:r>
      <w:r w:rsidRPr="009F665C">
        <w:rPr>
          <w:sz w:val="26"/>
          <w:szCs w:val="26"/>
          <w:lang w:val="en-US"/>
        </w:rPr>
        <w:t xml:space="preserve">g of TTX and/or its equivalent toxic amount of its analogues per kg </w:t>
      </w:r>
      <w:r w:rsidR="005567C9">
        <w:rPr>
          <w:sz w:val="26"/>
          <w:szCs w:val="26"/>
          <w:lang w:val="en-US"/>
        </w:rPr>
        <w:t xml:space="preserve">of </w:t>
      </w:r>
      <w:r w:rsidRPr="009F665C">
        <w:rPr>
          <w:sz w:val="26"/>
          <w:szCs w:val="26"/>
          <w:lang w:val="en-US"/>
        </w:rPr>
        <w:t>shellfish meat is not expected to lead to adverse effects in humans</w:t>
      </w:r>
      <w:r w:rsidR="005A1B7D">
        <w:rPr>
          <w:sz w:val="26"/>
          <w:szCs w:val="26"/>
          <w:lang w:val="en-US"/>
        </w:rPr>
        <w:t xml:space="preserve"> [17</w:t>
      </w:r>
      <w:r w:rsidR="000B5DE5">
        <w:rPr>
          <w:sz w:val="26"/>
          <w:szCs w:val="26"/>
          <w:lang w:val="en-US"/>
        </w:rPr>
        <w:t>]</w:t>
      </w:r>
      <w:r w:rsidRPr="009F665C">
        <w:rPr>
          <w:sz w:val="26"/>
          <w:szCs w:val="26"/>
          <w:lang w:val="en-US"/>
        </w:rPr>
        <w:t>.</w:t>
      </w:r>
    </w:p>
    <w:p w:rsidR="00AC1489" w:rsidRDefault="00515031" w:rsidP="00F115A4">
      <w:pPr>
        <w:autoSpaceDE w:val="0"/>
        <w:autoSpaceDN w:val="0"/>
        <w:adjustRightInd w:val="0"/>
        <w:spacing w:line="240" w:lineRule="auto"/>
        <w:jc w:val="both"/>
        <w:rPr>
          <w:sz w:val="26"/>
          <w:szCs w:val="26"/>
          <w:lang w:val="en-US"/>
        </w:rPr>
      </w:pPr>
      <w:r>
        <w:rPr>
          <w:sz w:val="26"/>
          <w:szCs w:val="26"/>
          <w:lang w:val="en-US"/>
        </w:rPr>
        <w:t xml:space="preserve">After the </w:t>
      </w:r>
      <w:r w:rsidRPr="00E67DA1">
        <w:rPr>
          <w:sz w:val="26"/>
          <w:szCs w:val="26"/>
          <w:lang w:val="en-US"/>
        </w:rPr>
        <w:t>EFSA published</w:t>
      </w:r>
      <w:r w:rsidR="00823B84" w:rsidRPr="00E67DA1">
        <w:rPr>
          <w:sz w:val="26"/>
          <w:szCs w:val="26"/>
          <w:lang w:val="en-US"/>
        </w:rPr>
        <w:t xml:space="preserve"> </w:t>
      </w:r>
      <w:r w:rsidR="00E67DA1" w:rsidRPr="00E67DA1">
        <w:rPr>
          <w:sz w:val="26"/>
          <w:szCs w:val="26"/>
          <w:lang w:val="en-US"/>
        </w:rPr>
        <w:t>its</w:t>
      </w:r>
      <w:r w:rsidR="00823B84" w:rsidRPr="00E67DA1">
        <w:rPr>
          <w:sz w:val="26"/>
          <w:szCs w:val="26"/>
          <w:lang w:val="en-US"/>
        </w:rPr>
        <w:t xml:space="preserve"> opinion</w:t>
      </w:r>
      <w:r w:rsidR="003671DB" w:rsidRPr="00E67DA1">
        <w:rPr>
          <w:sz w:val="26"/>
          <w:szCs w:val="26"/>
          <w:lang w:val="en-US"/>
        </w:rPr>
        <w:t>,</w:t>
      </w:r>
      <w:r w:rsidR="00823B84" w:rsidRPr="00E67DA1">
        <w:rPr>
          <w:sz w:val="26"/>
          <w:szCs w:val="26"/>
          <w:lang w:val="en-US"/>
        </w:rPr>
        <w:t xml:space="preserve"> a Dutch in vitro study</w:t>
      </w:r>
      <w:r w:rsidR="00E67DA1" w:rsidRPr="00E67DA1">
        <w:rPr>
          <w:sz w:val="26"/>
          <w:szCs w:val="26"/>
          <w:lang w:val="en-US"/>
        </w:rPr>
        <w:t xml:space="preserve"> (from 2017)</w:t>
      </w:r>
      <w:r w:rsidR="00823B84" w:rsidRPr="00E67DA1">
        <w:rPr>
          <w:sz w:val="26"/>
          <w:szCs w:val="26"/>
          <w:lang w:val="en-US"/>
        </w:rPr>
        <w:t xml:space="preserve"> </w:t>
      </w:r>
      <w:r w:rsidR="00E67DA1" w:rsidRPr="00E67DA1">
        <w:rPr>
          <w:sz w:val="26"/>
          <w:szCs w:val="26"/>
          <w:lang w:val="en-US"/>
        </w:rPr>
        <w:t>[</w:t>
      </w:r>
      <w:r w:rsidR="005A1B7D">
        <w:rPr>
          <w:sz w:val="26"/>
          <w:szCs w:val="26"/>
          <w:lang w:val="en-US"/>
        </w:rPr>
        <w:t>18</w:t>
      </w:r>
      <w:r w:rsidR="00E67DA1" w:rsidRPr="00E67DA1">
        <w:rPr>
          <w:sz w:val="26"/>
          <w:szCs w:val="26"/>
          <w:lang w:val="en-US"/>
        </w:rPr>
        <w:t>]</w:t>
      </w:r>
      <w:r w:rsidR="00823B84" w:rsidRPr="00E67DA1">
        <w:rPr>
          <w:sz w:val="26"/>
          <w:szCs w:val="26"/>
          <w:lang w:val="en-US"/>
        </w:rPr>
        <w:t xml:space="preserve"> gives further information on the regular used Uncertainty Factors (UF). The regular procedure to define an ARfD would be to select the NOAEL</w:t>
      </w:r>
      <w:r w:rsidR="006251E0" w:rsidRPr="00E67DA1">
        <w:rPr>
          <w:sz w:val="26"/>
          <w:szCs w:val="26"/>
          <w:lang w:val="en-US"/>
        </w:rPr>
        <w:t xml:space="preserve"> (No Observed Adverse Effect Level)</w:t>
      </w:r>
      <w:r w:rsidR="00823B84" w:rsidRPr="00E67DA1">
        <w:rPr>
          <w:sz w:val="26"/>
          <w:szCs w:val="26"/>
          <w:lang w:val="en-US"/>
        </w:rPr>
        <w:t xml:space="preserve"> for</w:t>
      </w:r>
      <w:r w:rsidR="00823B84" w:rsidRPr="006511E3">
        <w:rPr>
          <w:sz w:val="26"/>
          <w:szCs w:val="26"/>
          <w:lang w:val="en-US"/>
        </w:rPr>
        <w:t xml:space="preserve"> the most critical endpoint in an acute animal study and divide that by an uncertainty factor of 10 for interspecies differences (between the experimental animals and human) and by another uncertainty factor of 10 for intraspecies differences (between humans). At </w:t>
      </w:r>
      <w:r w:rsidR="003671DB">
        <w:rPr>
          <w:sz w:val="26"/>
          <w:szCs w:val="26"/>
          <w:lang w:val="en-US"/>
        </w:rPr>
        <w:t>an expert meeting on May the 2</w:t>
      </w:r>
      <w:r w:rsidR="003671DB" w:rsidRPr="00E67DA1">
        <w:rPr>
          <w:sz w:val="26"/>
          <w:szCs w:val="26"/>
          <w:vertAlign w:val="superscript"/>
          <w:lang w:val="en-US"/>
        </w:rPr>
        <w:t>nd</w:t>
      </w:r>
      <w:r w:rsidR="00E67DA1">
        <w:rPr>
          <w:sz w:val="26"/>
          <w:szCs w:val="26"/>
          <w:lang w:val="en-US"/>
        </w:rPr>
        <w:t xml:space="preserve">, </w:t>
      </w:r>
      <w:r w:rsidR="00E67DA1" w:rsidRPr="00E67DA1">
        <w:rPr>
          <w:sz w:val="26"/>
          <w:szCs w:val="26"/>
          <w:lang w:val="en-US"/>
        </w:rPr>
        <w:t xml:space="preserve">2017 </w:t>
      </w:r>
      <w:r w:rsidR="00E67DA1">
        <w:rPr>
          <w:sz w:val="26"/>
          <w:szCs w:val="26"/>
          <w:lang w:val="en-US"/>
        </w:rPr>
        <w:t>[</w:t>
      </w:r>
      <w:r w:rsidR="005A1B7D">
        <w:rPr>
          <w:sz w:val="26"/>
          <w:szCs w:val="26"/>
          <w:lang w:val="en-US"/>
        </w:rPr>
        <w:t>19</w:t>
      </w:r>
      <w:r w:rsidR="00E67DA1">
        <w:rPr>
          <w:sz w:val="26"/>
          <w:szCs w:val="26"/>
          <w:lang w:val="en-US"/>
        </w:rPr>
        <w:t>]</w:t>
      </w:r>
      <w:r w:rsidR="00325A84" w:rsidRPr="00E67DA1">
        <w:rPr>
          <w:sz w:val="26"/>
          <w:szCs w:val="26"/>
          <w:lang w:val="en-US"/>
        </w:rPr>
        <w:t xml:space="preserve"> </w:t>
      </w:r>
      <w:r w:rsidR="00823B84" w:rsidRPr="00E67DA1">
        <w:rPr>
          <w:sz w:val="26"/>
          <w:szCs w:val="26"/>
          <w:lang w:val="en-US"/>
        </w:rPr>
        <w:t>with</w:t>
      </w:r>
      <w:r w:rsidR="00823B84" w:rsidRPr="006511E3">
        <w:rPr>
          <w:sz w:val="26"/>
          <w:szCs w:val="26"/>
          <w:lang w:val="en-US"/>
        </w:rPr>
        <w:t xml:space="preserve"> Dutch and Belgium experts was concluded that the information of this in vit</w:t>
      </w:r>
      <w:r w:rsidR="00E67DA1">
        <w:rPr>
          <w:sz w:val="26"/>
          <w:szCs w:val="26"/>
          <w:lang w:val="en-US"/>
        </w:rPr>
        <w:t xml:space="preserve">ro study results in a reduction </w:t>
      </w:r>
      <w:r w:rsidR="00823B84" w:rsidRPr="006511E3">
        <w:rPr>
          <w:sz w:val="26"/>
          <w:szCs w:val="26"/>
          <w:lang w:val="en-US"/>
        </w:rPr>
        <w:t xml:space="preserve">of uncertainty of 2,5, resulting in safe level of 2,5 * 44 = </w:t>
      </w:r>
      <w:r w:rsidR="00823B84" w:rsidRPr="00E67DA1">
        <w:rPr>
          <w:sz w:val="26"/>
          <w:szCs w:val="26"/>
          <w:lang w:val="en-US"/>
        </w:rPr>
        <w:t xml:space="preserve">110 </w:t>
      </w:r>
      <w:r w:rsidR="00D07242" w:rsidRPr="00E67DA1">
        <w:rPr>
          <w:sz w:val="26"/>
          <w:szCs w:val="26"/>
          <w:lang w:val="en-US"/>
        </w:rPr>
        <w:t>µ</w:t>
      </w:r>
      <w:r w:rsidR="00823B84" w:rsidRPr="00E67DA1">
        <w:rPr>
          <w:sz w:val="26"/>
          <w:szCs w:val="26"/>
          <w:lang w:val="en-US"/>
        </w:rPr>
        <w:t>g</w:t>
      </w:r>
      <w:r w:rsidR="00C94331">
        <w:rPr>
          <w:sz w:val="26"/>
          <w:szCs w:val="26"/>
          <w:lang w:val="en-US"/>
        </w:rPr>
        <w:t xml:space="preserve"> </w:t>
      </w:r>
      <w:r w:rsidR="00F20936">
        <w:rPr>
          <w:color w:val="000000"/>
          <w:sz w:val="26"/>
          <w:szCs w:val="26"/>
          <w:lang w:val="en-US"/>
        </w:rPr>
        <w:t>TTX equivalent</w:t>
      </w:r>
      <w:r w:rsidR="00F20936" w:rsidRPr="00C053E7">
        <w:rPr>
          <w:color w:val="000000"/>
          <w:sz w:val="26"/>
          <w:szCs w:val="26"/>
          <w:lang w:val="en-US"/>
        </w:rPr>
        <w:t xml:space="preserve">/kg </w:t>
      </w:r>
      <w:r w:rsidR="00F20936">
        <w:rPr>
          <w:color w:val="000000"/>
          <w:sz w:val="26"/>
          <w:szCs w:val="26"/>
          <w:lang w:val="en-US"/>
        </w:rPr>
        <w:t>shellfish meat</w:t>
      </w:r>
      <w:r w:rsidR="00823B84" w:rsidRPr="006511E3">
        <w:rPr>
          <w:sz w:val="26"/>
          <w:szCs w:val="26"/>
          <w:lang w:val="en-US"/>
        </w:rPr>
        <w:t>.</w:t>
      </w:r>
      <w:r w:rsidR="00AC1489">
        <w:rPr>
          <w:sz w:val="26"/>
          <w:szCs w:val="26"/>
          <w:lang w:val="en-US"/>
        </w:rPr>
        <w:t xml:space="preserve"> </w:t>
      </w:r>
    </w:p>
    <w:p w:rsidR="00823B84" w:rsidRPr="009F665C" w:rsidRDefault="00823B84" w:rsidP="00F115A4">
      <w:pPr>
        <w:autoSpaceDE w:val="0"/>
        <w:autoSpaceDN w:val="0"/>
        <w:adjustRightInd w:val="0"/>
        <w:spacing w:line="240" w:lineRule="auto"/>
        <w:jc w:val="both"/>
        <w:rPr>
          <w:sz w:val="26"/>
          <w:szCs w:val="26"/>
          <w:lang w:val="en-US"/>
        </w:rPr>
      </w:pPr>
      <w:r w:rsidRPr="009F665C">
        <w:rPr>
          <w:sz w:val="26"/>
          <w:szCs w:val="26"/>
          <w:lang w:val="en-US"/>
        </w:rPr>
        <w:t xml:space="preserve">The EFSA </w:t>
      </w:r>
      <w:r w:rsidR="006511E3">
        <w:rPr>
          <w:sz w:val="26"/>
          <w:szCs w:val="26"/>
          <w:lang w:val="en-US"/>
        </w:rPr>
        <w:t xml:space="preserve">CONTAM </w:t>
      </w:r>
      <w:r w:rsidRPr="009F665C">
        <w:rPr>
          <w:sz w:val="26"/>
          <w:szCs w:val="26"/>
          <w:lang w:val="en-US"/>
        </w:rPr>
        <w:t>Panel concluded</w:t>
      </w:r>
      <w:r w:rsidR="006511E3">
        <w:rPr>
          <w:sz w:val="26"/>
          <w:szCs w:val="26"/>
          <w:lang w:val="en-US"/>
        </w:rPr>
        <w:t xml:space="preserve"> that c</w:t>
      </w:r>
      <w:r w:rsidRPr="009F665C">
        <w:rPr>
          <w:sz w:val="26"/>
          <w:szCs w:val="26"/>
          <w:lang w:val="en-US"/>
        </w:rPr>
        <w:t>hemical-analytical methods, in particular LC-MS/MS (liquid chromatography with tandem mass spectroscopy), are the most suitable detection methods because they allow identification and quantification of TTX and its analogues. Limits o</w:t>
      </w:r>
      <w:r w:rsidR="00E67DA1">
        <w:rPr>
          <w:sz w:val="26"/>
          <w:szCs w:val="26"/>
          <w:lang w:val="en-US"/>
        </w:rPr>
        <w:t>f quantification vary between 0,</w:t>
      </w:r>
      <w:r w:rsidRPr="009F665C">
        <w:rPr>
          <w:sz w:val="26"/>
          <w:szCs w:val="26"/>
          <w:lang w:val="en-US"/>
        </w:rPr>
        <w:t>1 and 25</w:t>
      </w:r>
      <w:r w:rsidRPr="00823B84">
        <w:rPr>
          <w:sz w:val="26"/>
          <w:szCs w:val="26"/>
          <w:lang w:val="en-US"/>
        </w:rPr>
        <w:t xml:space="preserve"> </w:t>
      </w:r>
      <w:r w:rsidRPr="009F665C">
        <w:rPr>
          <w:sz w:val="26"/>
          <w:szCs w:val="26"/>
        </w:rPr>
        <w:t>μ</w:t>
      </w:r>
      <w:r w:rsidRPr="009F665C">
        <w:rPr>
          <w:sz w:val="26"/>
          <w:szCs w:val="26"/>
          <w:lang w:val="en-US"/>
        </w:rPr>
        <w:t>g</w:t>
      </w:r>
      <w:r w:rsidR="00F20936" w:rsidRPr="00F20936">
        <w:rPr>
          <w:color w:val="000000"/>
          <w:sz w:val="26"/>
          <w:szCs w:val="26"/>
          <w:lang w:val="en-US"/>
        </w:rPr>
        <w:t xml:space="preserve"> </w:t>
      </w:r>
      <w:r w:rsidR="00F20936">
        <w:rPr>
          <w:color w:val="000000"/>
          <w:sz w:val="26"/>
          <w:szCs w:val="26"/>
          <w:lang w:val="en-US"/>
        </w:rPr>
        <w:t>TTX equivalent</w:t>
      </w:r>
      <w:r w:rsidR="00F20936" w:rsidRPr="00C053E7">
        <w:rPr>
          <w:color w:val="000000"/>
          <w:sz w:val="26"/>
          <w:szCs w:val="26"/>
          <w:lang w:val="en-US"/>
        </w:rPr>
        <w:t xml:space="preserve">/kg </w:t>
      </w:r>
      <w:r w:rsidR="00F20936">
        <w:rPr>
          <w:color w:val="000000"/>
          <w:sz w:val="26"/>
          <w:szCs w:val="26"/>
          <w:lang w:val="en-US"/>
        </w:rPr>
        <w:t>shellfish meat</w:t>
      </w:r>
      <w:r w:rsidRPr="00E67DA1">
        <w:rPr>
          <w:sz w:val="26"/>
          <w:szCs w:val="26"/>
          <w:lang w:val="en-US"/>
        </w:rPr>
        <w:t>.</w:t>
      </w:r>
      <w:r w:rsidR="00191C1E" w:rsidRPr="00E67DA1">
        <w:rPr>
          <w:sz w:val="26"/>
          <w:szCs w:val="26"/>
          <w:lang w:val="en-US"/>
        </w:rPr>
        <w:t xml:space="preserve"> Although validated within laboratories, EFSA </w:t>
      </w:r>
      <w:r w:rsidR="00432492" w:rsidRPr="00E67DA1">
        <w:rPr>
          <w:sz w:val="26"/>
          <w:szCs w:val="26"/>
          <w:lang w:val="en-US"/>
        </w:rPr>
        <w:t xml:space="preserve">CONTAM Panel </w:t>
      </w:r>
      <w:r w:rsidR="00191C1E" w:rsidRPr="00E67DA1">
        <w:rPr>
          <w:sz w:val="26"/>
          <w:szCs w:val="26"/>
          <w:lang w:val="en-US"/>
        </w:rPr>
        <w:t>suggests that LC-MS/MS methods require further validat</w:t>
      </w:r>
      <w:r w:rsidR="007275FD" w:rsidRPr="00E67DA1">
        <w:rPr>
          <w:sz w:val="26"/>
          <w:szCs w:val="26"/>
          <w:lang w:val="en-US"/>
        </w:rPr>
        <w:t xml:space="preserve">ion in interlaboratory trials </w:t>
      </w:r>
      <w:r w:rsidR="00E67DA1" w:rsidRPr="00E67DA1">
        <w:rPr>
          <w:sz w:val="26"/>
          <w:szCs w:val="26"/>
          <w:lang w:val="en-US"/>
        </w:rPr>
        <w:t>[</w:t>
      </w:r>
      <w:r w:rsidR="005A1B7D">
        <w:rPr>
          <w:sz w:val="26"/>
          <w:szCs w:val="26"/>
          <w:lang w:val="en-US"/>
        </w:rPr>
        <w:t>17</w:t>
      </w:r>
      <w:r w:rsidR="00E67DA1" w:rsidRPr="00E67DA1">
        <w:rPr>
          <w:sz w:val="26"/>
          <w:szCs w:val="26"/>
          <w:lang w:val="en-US"/>
        </w:rPr>
        <w:t>]</w:t>
      </w:r>
      <w:r w:rsidR="00191C1E" w:rsidRPr="00E67DA1">
        <w:rPr>
          <w:sz w:val="26"/>
          <w:szCs w:val="26"/>
          <w:lang w:val="en-US"/>
        </w:rPr>
        <w:t>.</w:t>
      </w:r>
      <w:r w:rsidR="002B395B">
        <w:rPr>
          <w:sz w:val="26"/>
          <w:szCs w:val="26"/>
          <w:lang w:val="en-US"/>
        </w:rPr>
        <w:t xml:space="preserve"> At the present time, the validation of the method by </w:t>
      </w:r>
      <w:r w:rsidR="00F5586A">
        <w:rPr>
          <w:sz w:val="26"/>
          <w:szCs w:val="26"/>
          <w:lang w:val="en-US"/>
        </w:rPr>
        <w:t>the national reference laboratories [</w:t>
      </w:r>
      <w:r w:rsidR="005A1B7D">
        <w:rPr>
          <w:sz w:val="26"/>
          <w:szCs w:val="26"/>
          <w:lang w:val="en-US"/>
        </w:rPr>
        <w:t>20</w:t>
      </w:r>
      <w:r w:rsidR="00F5586A">
        <w:rPr>
          <w:sz w:val="26"/>
          <w:szCs w:val="26"/>
          <w:lang w:val="en-US"/>
        </w:rPr>
        <w:t xml:space="preserve">] </w:t>
      </w:r>
      <w:r w:rsidR="002B395B">
        <w:rPr>
          <w:sz w:val="26"/>
          <w:szCs w:val="26"/>
          <w:lang w:val="en-US"/>
        </w:rPr>
        <w:t>is in course [</w:t>
      </w:r>
      <w:r w:rsidR="005A1B7D">
        <w:rPr>
          <w:sz w:val="26"/>
          <w:szCs w:val="26"/>
          <w:lang w:val="en-US"/>
        </w:rPr>
        <w:t>21</w:t>
      </w:r>
      <w:r w:rsidR="002B395B">
        <w:rPr>
          <w:sz w:val="26"/>
          <w:szCs w:val="26"/>
          <w:lang w:val="en-US"/>
        </w:rPr>
        <w:t>].</w:t>
      </w:r>
    </w:p>
    <w:p w:rsidR="006511E3" w:rsidRPr="006511E3" w:rsidRDefault="00823B84" w:rsidP="00C94331">
      <w:pPr>
        <w:autoSpaceDE w:val="0"/>
        <w:autoSpaceDN w:val="0"/>
        <w:adjustRightInd w:val="0"/>
        <w:spacing w:line="240" w:lineRule="auto"/>
        <w:jc w:val="both"/>
        <w:rPr>
          <w:sz w:val="26"/>
          <w:szCs w:val="26"/>
          <w:lang w:val="en-US"/>
        </w:rPr>
      </w:pPr>
      <w:r w:rsidRPr="009F665C">
        <w:rPr>
          <w:sz w:val="26"/>
          <w:szCs w:val="26"/>
          <w:lang w:val="en-US"/>
        </w:rPr>
        <w:t>The EFSA CONTAM Panel recommends to obtain</w:t>
      </w:r>
      <w:r w:rsidR="00515031">
        <w:rPr>
          <w:sz w:val="26"/>
          <w:szCs w:val="26"/>
          <w:lang w:val="en-US"/>
        </w:rPr>
        <w:t xml:space="preserve"> more occurrence </w:t>
      </w:r>
      <w:r w:rsidR="00515031" w:rsidRPr="00E67DA1">
        <w:rPr>
          <w:sz w:val="26"/>
          <w:szCs w:val="26"/>
          <w:lang w:val="en-US"/>
        </w:rPr>
        <w:t>data</w:t>
      </w:r>
      <w:r w:rsidRPr="00E67DA1">
        <w:rPr>
          <w:sz w:val="26"/>
          <w:szCs w:val="26"/>
          <w:lang w:val="en-US"/>
        </w:rPr>
        <w:t xml:space="preserve"> on</w:t>
      </w:r>
      <w:r w:rsidRPr="009F665C">
        <w:rPr>
          <w:sz w:val="26"/>
          <w:szCs w:val="26"/>
          <w:lang w:val="en-US"/>
        </w:rPr>
        <w:t xml:space="preserve"> TTX and its analogues in edible parts of marine bivalves and gastropods from different EU waters in order to provide a more reliable exposure assessment. In addition, certified standards and reference materials for TTX and its analogues are needed to improve the quality of the occurrence data</w:t>
      </w:r>
      <w:r w:rsidR="000B5DE5">
        <w:rPr>
          <w:sz w:val="26"/>
          <w:szCs w:val="26"/>
          <w:lang w:val="en-US"/>
        </w:rPr>
        <w:t xml:space="preserve"> [</w:t>
      </w:r>
      <w:r w:rsidR="005A1B7D">
        <w:rPr>
          <w:sz w:val="26"/>
          <w:szCs w:val="26"/>
          <w:lang w:val="en-US"/>
        </w:rPr>
        <w:t>17</w:t>
      </w:r>
      <w:r w:rsidR="000B5DE5">
        <w:rPr>
          <w:sz w:val="26"/>
          <w:szCs w:val="26"/>
          <w:lang w:val="en-US"/>
        </w:rPr>
        <w:t>]</w:t>
      </w:r>
      <w:r w:rsidRPr="009F665C">
        <w:rPr>
          <w:sz w:val="26"/>
          <w:szCs w:val="26"/>
          <w:lang w:val="en-US"/>
        </w:rPr>
        <w:t>.</w:t>
      </w:r>
    </w:p>
    <w:p w:rsidR="00823B84" w:rsidRDefault="00613944" w:rsidP="00C94331">
      <w:pPr>
        <w:ind w:firstLine="708"/>
        <w:jc w:val="both"/>
        <w:rPr>
          <w:sz w:val="26"/>
          <w:szCs w:val="26"/>
          <w:lang w:val="en-US"/>
        </w:rPr>
      </w:pPr>
      <w:r>
        <w:rPr>
          <w:sz w:val="26"/>
          <w:szCs w:val="26"/>
          <w:lang w:val="en-US"/>
        </w:rPr>
        <w:t>Since</w:t>
      </w:r>
      <w:r w:rsidR="00F5586A">
        <w:rPr>
          <w:sz w:val="26"/>
          <w:szCs w:val="26"/>
          <w:lang w:val="en-US"/>
        </w:rPr>
        <w:t xml:space="preserve"> 2017, t</w:t>
      </w:r>
      <w:r w:rsidR="00823B84" w:rsidRPr="006511E3">
        <w:rPr>
          <w:sz w:val="26"/>
          <w:szCs w:val="26"/>
          <w:lang w:val="en-US"/>
        </w:rPr>
        <w:t xml:space="preserve">he Netherlands </w:t>
      </w:r>
      <w:r w:rsidR="00AC1489">
        <w:rPr>
          <w:sz w:val="26"/>
          <w:szCs w:val="26"/>
          <w:lang w:val="en-US"/>
        </w:rPr>
        <w:t>used the 44 µg</w:t>
      </w:r>
      <w:r w:rsidR="00F20936" w:rsidRPr="00F20936">
        <w:rPr>
          <w:color w:val="000000"/>
          <w:sz w:val="26"/>
          <w:szCs w:val="26"/>
          <w:lang w:val="en-US"/>
        </w:rPr>
        <w:t xml:space="preserve"> </w:t>
      </w:r>
      <w:r w:rsidR="00F20936">
        <w:rPr>
          <w:color w:val="000000"/>
          <w:sz w:val="26"/>
          <w:szCs w:val="26"/>
          <w:lang w:val="en-US"/>
        </w:rPr>
        <w:t>TTX equivalent</w:t>
      </w:r>
      <w:r w:rsidR="00F20936" w:rsidRPr="00C053E7">
        <w:rPr>
          <w:color w:val="000000"/>
          <w:sz w:val="26"/>
          <w:szCs w:val="26"/>
          <w:lang w:val="en-US"/>
        </w:rPr>
        <w:t xml:space="preserve">/kg </w:t>
      </w:r>
      <w:r w:rsidR="00F20936">
        <w:rPr>
          <w:color w:val="000000"/>
          <w:sz w:val="26"/>
          <w:szCs w:val="26"/>
          <w:lang w:val="en-US"/>
        </w:rPr>
        <w:t xml:space="preserve">shellfish meat </w:t>
      </w:r>
      <w:r w:rsidR="00823B84" w:rsidRPr="006511E3">
        <w:rPr>
          <w:sz w:val="26"/>
          <w:szCs w:val="26"/>
          <w:lang w:val="en-US"/>
        </w:rPr>
        <w:t>as a standard for measur</w:t>
      </w:r>
      <w:r w:rsidR="00A3532A">
        <w:rPr>
          <w:sz w:val="26"/>
          <w:szCs w:val="26"/>
          <w:lang w:val="en-US"/>
        </w:rPr>
        <w:t xml:space="preserve">es to close production areas. </w:t>
      </w:r>
      <w:r w:rsidR="00823B84" w:rsidRPr="006511E3">
        <w:rPr>
          <w:sz w:val="26"/>
          <w:szCs w:val="26"/>
          <w:lang w:val="en-US"/>
        </w:rPr>
        <w:t>The</w:t>
      </w:r>
      <w:r w:rsidR="00A3532A">
        <w:rPr>
          <w:sz w:val="26"/>
          <w:szCs w:val="26"/>
          <w:lang w:val="en-US"/>
        </w:rPr>
        <w:t xml:space="preserve">y </w:t>
      </w:r>
      <w:r w:rsidR="00823B84" w:rsidRPr="006511E3">
        <w:rPr>
          <w:sz w:val="26"/>
          <w:szCs w:val="26"/>
          <w:lang w:val="en-US"/>
        </w:rPr>
        <w:t>fo</w:t>
      </w:r>
      <w:r w:rsidR="00515031">
        <w:rPr>
          <w:sz w:val="26"/>
          <w:szCs w:val="26"/>
          <w:lang w:val="en-US"/>
        </w:rPr>
        <w:t>llow the standard from the advic</w:t>
      </w:r>
      <w:r w:rsidR="00823B84" w:rsidRPr="006511E3">
        <w:rPr>
          <w:sz w:val="26"/>
          <w:szCs w:val="26"/>
          <w:lang w:val="en-US"/>
        </w:rPr>
        <w:t>e of EFSA, instead of th</w:t>
      </w:r>
      <w:r w:rsidR="00325A84">
        <w:rPr>
          <w:sz w:val="26"/>
          <w:szCs w:val="26"/>
          <w:lang w:val="en-US"/>
        </w:rPr>
        <w:t xml:space="preserve">e level of 20 µg </w:t>
      </w:r>
      <w:r w:rsidR="00F20936">
        <w:rPr>
          <w:color w:val="000000"/>
          <w:sz w:val="26"/>
          <w:szCs w:val="26"/>
          <w:lang w:val="en-US"/>
        </w:rPr>
        <w:t>TTX equivalent</w:t>
      </w:r>
      <w:r w:rsidR="00F20936" w:rsidRPr="00C053E7">
        <w:rPr>
          <w:color w:val="000000"/>
          <w:sz w:val="26"/>
          <w:szCs w:val="26"/>
          <w:lang w:val="en-US"/>
        </w:rPr>
        <w:t xml:space="preserve">/kg </w:t>
      </w:r>
      <w:r w:rsidR="00F20936">
        <w:rPr>
          <w:color w:val="000000"/>
          <w:sz w:val="26"/>
          <w:szCs w:val="26"/>
          <w:lang w:val="en-US"/>
        </w:rPr>
        <w:t>shellfish meat</w:t>
      </w:r>
      <w:r w:rsidR="006C0DCE">
        <w:rPr>
          <w:sz w:val="26"/>
          <w:szCs w:val="26"/>
          <w:lang w:val="en-US"/>
        </w:rPr>
        <w:t xml:space="preserve"> firstly chosen</w:t>
      </w:r>
      <w:r w:rsidR="00325A84" w:rsidRPr="00E67DA1">
        <w:rPr>
          <w:sz w:val="26"/>
          <w:szCs w:val="26"/>
          <w:lang w:val="en-US"/>
        </w:rPr>
        <w:t xml:space="preserve"> </w:t>
      </w:r>
      <w:r w:rsidR="00E67DA1" w:rsidRPr="00E67DA1">
        <w:rPr>
          <w:sz w:val="26"/>
          <w:szCs w:val="26"/>
          <w:lang w:val="en-US"/>
        </w:rPr>
        <w:t>[</w:t>
      </w:r>
      <w:r w:rsidR="005A1B7D">
        <w:rPr>
          <w:sz w:val="26"/>
          <w:szCs w:val="26"/>
          <w:lang w:val="en-US"/>
        </w:rPr>
        <w:t>22</w:t>
      </w:r>
      <w:r w:rsidR="00E67DA1" w:rsidRPr="00E67DA1">
        <w:rPr>
          <w:sz w:val="26"/>
          <w:szCs w:val="26"/>
          <w:lang w:val="en-US"/>
        </w:rPr>
        <w:t>]</w:t>
      </w:r>
      <w:r w:rsidR="00325A84" w:rsidRPr="00E67DA1">
        <w:rPr>
          <w:sz w:val="26"/>
          <w:szCs w:val="26"/>
          <w:lang w:val="en-US"/>
        </w:rPr>
        <w:t>.</w:t>
      </w:r>
      <w:r w:rsidR="002B395B">
        <w:rPr>
          <w:sz w:val="26"/>
          <w:szCs w:val="26"/>
          <w:lang w:val="en-US"/>
        </w:rPr>
        <w:t xml:space="preserve"> </w:t>
      </w:r>
      <w:r w:rsidR="00A3532A">
        <w:rPr>
          <w:sz w:val="26"/>
          <w:szCs w:val="26"/>
          <w:lang w:val="en-US"/>
        </w:rPr>
        <w:t>During 2017 summer, t</w:t>
      </w:r>
      <w:r w:rsidR="002B395B">
        <w:rPr>
          <w:sz w:val="26"/>
          <w:szCs w:val="26"/>
          <w:lang w:val="en-US"/>
        </w:rPr>
        <w:t xml:space="preserve">here was no TTX crisis </w:t>
      </w:r>
      <w:r w:rsidR="00A3532A">
        <w:rPr>
          <w:sz w:val="26"/>
          <w:szCs w:val="26"/>
          <w:lang w:val="en-US"/>
        </w:rPr>
        <w:t>in Holland</w:t>
      </w:r>
      <w:r w:rsidR="006C0DCE">
        <w:rPr>
          <w:sz w:val="26"/>
          <w:szCs w:val="26"/>
          <w:lang w:val="en-US"/>
        </w:rPr>
        <w:t xml:space="preserve">. The Netherlands currently continue to follow their </w:t>
      </w:r>
      <w:r w:rsidR="00E13092">
        <w:rPr>
          <w:sz w:val="26"/>
          <w:szCs w:val="26"/>
          <w:lang w:val="en-US"/>
        </w:rPr>
        <w:t>national</w:t>
      </w:r>
      <w:r w:rsidR="006C0DCE">
        <w:rPr>
          <w:sz w:val="26"/>
          <w:szCs w:val="26"/>
          <w:lang w:val="en-US"/>
        </w:rPr>
        <w:t xml:space="preserve"> regulation concerning the TTX but</w:t>
      </w:r>
      <w:r w:rsidR="00A3532A">
        <w:rPr>
          <w:sz w:val="26"/>
          <w:szCs w:val="26"/>
          <w:lang w:val="en-US"/>
        </w:rPr>
        <w:t xml:space="preserve"> </w:t>
      </w:r>
      <w:r w:rsidR="006C0DCE">
        <w:rPr>
          <w:sz w:val="26"/>
          <w:szCs w:val="26"/>
          <w:lang w:val="en-US"/>
        </w:rPr>
        <w:t xml:space="preserve">it applies only to the </w:t>
      </w:r>
      <w:r w:rsidR="00A3532A">
        <w:rPr>
          <w:sz w:val="26"/>
          <w:szCs w:val="26"/>
          <w:lang w:val="en-US"/>
        </w:rPr>
        <w:t>Dutch</w:t>
      </w:r>
      <w:r w:rsidR="006C0DCE">
        <w:rPr>
          <w:sz w:val="26"/>
          <w:szCs w:val="26"/>
          <w:lang w:val="en-US"/>
        </w:rPr>
        <w:t xml:space="preserve"> product</w:t>
      </w:r>
      <w:r w:rsidR="00A3532A">
        <w:rPr>
          <w:sz w:val="26"/>
          <w:szCs w:val="26"/>
          <w:lang w:val="en-US"/>
        </w:rPr>
        <w:t>s</w:t>
      </w:r>
      <w:r w:rsidR="006C0DCE">
        <w:rPr>
          <w:sz w:val="26"/>
          <w:szCs w:val="26"/>
          <w:lang w:val="en-US"/>
        </w:rPr>
        <w:t xml:space="preserve"> and not to</w:t>
      </w:r>
      <w:r w:rsidR="00A3532A">
        <w:rPr>
          <w:sz w:val="26"/>
          <w:szCs w:val="26"/>
          <w:lang w:val="en-US"/>
        </w:rPr>
        <w:t xml:space="preserve"> all European products</w:t>
      </w:r>
      <w:r w:rsidR="005A1B7D">
        <w:rPr>
          <w:sz w:val="26"/>
          <w:szCs w:val="26"/>
          <w:lang w:val="en-US"/>
        </w:rPr>
        <w:t xml:space="preserve"> [21</w:t>
      </w:r>
      <w:r w:rsidR="006C0DCE">
        <w:rPr>
          <w:sz w:val="26"/>
          <w:szCs w:val="26"/>
          <w:lang w:val="en-US"/>
        </w:rPr>
        <w:t>].</w:t>
      </w:r>
    </w:p>
    <w:p w:rsidR="00083C6C" w:rsidRPr="006511E3" w:rsidRDefault="00083C6C" w:rsidP="00C94331">
      <w:pPr>
        <w:ind w:firstLine="708"/>
        <w:jc w:val="both"/>
        <w:rPr>
          <w:sz w:val="26"/>
          <w:szCs w:val="26"/>
          <w:lang w:val="en-US"/>
        </w:rPr>
      </w:pPr>
      <w:r>
        <w:rPr>
          <w:sz w:val="26"/>
          <w:szCs w:val="26"/>
          <w:lang w:val="en-US"/>
        </w:rPr>
        <w:t>In 2018, in order to accomplish the ESFA recommendation, Leao and al.</w:t>
      </w:r>
      <w:r w:rsidR="000B5DE5">
        <w:rPr>
          <w:sz w:val="26"/>
          <w:szCs w:val="26"/>
          <w:lang w:val="en-US"/>
        </w:rPr>
        <w:t xml:space="preserve"> [2]</w:t>
      </w:r>
      <w:r>
        <w:rPr>
          <w:sz w:val="26"/>
          <w:szCs w:val="26"/>
          <w:lang w:val="en-US"/>
        </w:rPr>
        <w:t xml:space="preserve"> investigate</w:t>
      </w:r>
      <w:r w:rsidR="007F350E">
        <w:rPr>
          <w:sz w:val="26"/>
          <w:szCs w:val="26"/>
          <w:lang w:val="en-US"/>
        </w:rPr>
        <w:t>d</w:t>
      </w:r>
      <w:r>
        <w:rPr>
          <w:sz w:val="26"/>
          <w:szCs w:val="26"/>
          <w:lang w:val="en-US"/>
        </w:rPr>
        <w:t xml:space="preserve"> the possible presence of TTX</w:t>
      </w:r>
      <w:r w:rsidR="00FC02C5">
        <w:rPr>
          <w:sz w:val="26"/>
          <w:szCs w:val="26"/>
          <w:lang w:val="en-US"/>
        </w:rPr>
        <w:t xml:space="preserve"> in different bivalves molluscs from the Galician Rias, in the Atlantic west coast of Spain, in which the production of bivalves, and, in particular, mussels, is the most representative in the EU</w:t>
      </w:r>
      <w:r w:rsidR="000B5DE5">
        <w:rPr>
          <w:sz w:val="26"/>
          <w:szCs w:val="26"/>
          <w:lang w:val="en-US"/>
        </w:rPr>
        <w:t xml:space="preserve"> [2</w:t>
      </w:r>
      <w:r w:rsidR="00FC02C5">
        <w:rPr>
          <w:sz w:val="26"/>
          <w:szCs w:val="26"/>
          <w:lang w:val="en-US"/>
        </w:rPr>
        <w:t>].</w:t>
      </w:r>
      <w:r w:rsidR="003D2099">
        <w:rPr>
          <w:sz w:val="26"/>
          <w:szCs w:val="26"/>
          <w:lang w:val="en-US"/>
        </w:rPr>
        <w:t xml:space="preserve"> </w:t>
      </w:r>
      <w:r w:rsidR="007F350E">
        <w:rPr>
          <w:sz w:val="26"/>
          <w:szCs w:val="26"/>
          <w:lang w:val="en-US"/>
        </w:rPr>
        <w:t xml:space="preserve">They also studied the </w:t>
      </w:r>
      <w:r w:rsidR="001F1714">
        <w:rPr>
          <w:sz w:val="26"/>
          <w:szCs w:val="26"/>
          <w:lang w:val="en-US"/>
        </w:rPr>
        <w:t>determination of</w:t>
      </w:r>
      <w:r w:rsidR="007F350E">
        <w:rPr>
          <w:sz w:val="26"/>
          <w:szCs w:val="26"/>
          <w:lang w:val="en-US"/>
        </w:rPr>
        <w:t xml:space="preserve"> NRPS gen</w:t>
      </w:r>
      <w:r w:rsidR="001F1714">
        <w:rPr>
          <w:sz w:val="26"/>
          <w:szCs w:val="26"/>
          <w:lang w:val="en-US"/>
        </w:rPr>
        <w:t>e</w:t>
      </w:r>
      <w:r w:rsidR="007F350E">
        <w:rPr>
          <w:sz w:val="26"/>
          <w:szCs w:val="26"/>
          <w:lang w:val="en-US"/>
        </w:rPr>
        <w:t xml:space="preserve">, after isolation of the major </w:t>
      </w:r>
      <w:r w:rsidR="007F350E" w:rsidRPr="001F1714">
        <w:rPr>
          <w:i/>
          <w:sz w:val="26"/>
          <w:szCs w:val="26"/>
          <w:lang w:val="en-US"/>
        </w:rPr>
        <w:t>Vibrio spp</w:t>
      </w:r>
      <w:r w:rsidR="008C523E">
        <w:rPr>
          <w:sz w:val="26"/>
          <w:szCs w:val="26"/>
          <w:lang w:val="en-US"/>
        </w:rPr>
        <w:t>., because this</w:t>
      </w:r>
      <w:r w:rsidR="007F350E">
        <w:rPr>
          <w:sz w:val="26"/>
          <w:szCs w:val="26"/>
          <w:lang w:val="en-US"/>
        </w:rPr>
        <w:t xml:space="preserve"> </w:t>
      </w:r>
      <w:r w:rsidR="008C523E">
        <w:rPr>
          <w:sz w:val="26"/>
          <w:szCs w:val="26"/>
          <w:lang w:val="en-US"/>
        </w:rPr>
        <w:t>gene is</w:t>
      </w:r>
      <w:r w:rsidR="007F350E">
        <w:rPr>
          <w:sz w:val="26"/>
          <w:szCs w:val="26"/>
          <w:lang w:val="en-US"/>
        </w:rPr>
        <w:t xml:space="preserve"> involved in the biosynthesis of toxins [2</w:t>
      </w:r>
      <w:r w:rsidR="005A1B7D">
        <w:rPr>
          <w:sz w:val="26"/>
          <w:szCs w:val="26"/>
          <w:lang w:val="en-US"/>
        </w:rPr>
        <w:t>3, 24</w:t>
      </w:r>
      <w:r w:rsidR="007F350E">
        <w:rPr>
          <w:sz w:val="26"/>
          <w:szCs w:val="26"/>
          <w:lang w:val="en-US"/>
        </w:rPr>
        <w:t>].</w:t>
      </w:r>
      <w:r w:rsidR="001F1714">
        <w:rPr>
          <w:sz w:val="26"/>
          <w:szCs w:val="26"/>
          <w:lang w:val="en-US"/>
        </w:rPr>
        <w:t xml:space="preserve"> The</w:t>
      </w:r>
      <w:r w:rsidR="00E10088">
        <w:rPr>
          <w:sz w:val="26"/>
          <w:szCs w:val="26"/>
          <w:lang w:val="en-US"/>
        </w:rPr>
        <w:t xml:space="preserve"> </w:t>
      </w:r>
      <w:r w:rsidR="001F1714">
        <w:rPr>
          <w:sz w:val="26"/>
          <w:szCs w:val="26"/>
          <w:lang w:val="en-US"/>
        </w:rPr>
        <w:t xml:space="preserve">presence of the NRPS gene has been observed in the samples were TTX was detected; nevertheless, this presence was also observed in other </w:t>
      </w:r>
      <w:r w:rsidR="001F1714" w:rsidRPr="00E10088">
        <w:rPr>
          <w:i/>
          <w:sz w:val="26"/>
          <w:szCs w:val="26"/>
          <w:lang w:val="en-US"/>
        </w:rPr>
        <w:t>Vibrios</w:t>
      </w:r>
      <w:r w:rsidR="001F1714">
        <w:rPr>
          <w:sz w:val="26"/>
          <w:szCs w:val="26"/>
          <w:lang w:val="en-US"/>
        </w:rPr>
        <w:t xml:space="preserve"> isolated from samples where TTX was not detected. Therefore, the association of this gene to the production of TTX is not clear </w:t>
      </w:r>
      <w:r w:rsidR="00E10088">
        <w:rPr>
          <w:sz w:val="26"/>
          <w:szCs w:val="26"/>
          <w:lang w:val="en-US"/>
        </w:rPr>
        <w:t>and needs further investigation. Only two samples (on 1279 samples) from infaunal areas (cockle and oyste</w:t>
      </w:r>
      <w:r w:rsidR="003E3E1B">
        <w:rPr>
          <w:sz w:val="26"/>
          <w:szCs w:val="26"/>
          <w:lang w:val="en-US"/>
        </w:rPr>
        <w:t>r) showed TTX toxicity response, their concentration levels of TTX were significantly lower than those recommended by EFSA; and n</w:t>
      </w:r>
      <w:r w:rsidR="00E10088">
        <w:rPr>
          <w:sz w:val="26"/>
          <w:szCs w:val="26"/>
          <w:lang w:val="en-US"/>
        </w:rPr>
        <w:t>o TTX analogues were found in these samples, nor in any other samples.</w:t>
      </w:r>
      <w:r w:rsidR="003E3E1B">
        <w:rPr>
          <w:sz w:val="26"/>
          <w:szCs w:val="26"/>
          <w:lang w:val="en-US"/>
        </w:rPr>
        <w:t xml:space="preserve"> It should be noted that the samples were collected in areas where the environmental conditions are similar to those described by </w:t>
      </w:r>
      <w:r w:rsidR="005D2105">
        <w:rPr>
          <w:sz w:val="26"/>
          <w:szCs w:val="26"/>
          <w:lang w:val="en-US"/>
        </w:rPr>
        <w:t xml:space="preserve">Turner and al. </w:t>
      </w:r>
      <w:r w:rsidR="003E3E1B">
        <w:rPr>
          <w:sz w:val="26"/>
          <w:szCs w:val="26"/>
          <w:lang w:val="en-US"/>
        </w:rPr>
        <w:t>[</w:t>
      </w:r>
      <w:r w:rsidR="005A1B7D">
        <w:rPr>
          <w:sz w:val="26"/>
          <w:szCs w:val="26"/>
          <w:lang w:val="en-US"/>
        </w:rPr>
        <w:t>25</w:t>
      </w:r>
      <w:r w:rsidR="003E3E1B">
        <w:rPr>
          <w:sz w:val="26"/>
          <w:szCs w:val="26"/>
          <w:lang w:val="en-US"/>
        </w:rPr>
        <w:t>] for the majority of TTX-positive shellfish found in the UK.</w:t>
      </w:r>
      <w:r w:rsidR="008C523E">
        <w:rPr>
          <w:sz w:val="26"/>
          <w:szCs w:val="26"/>
          <w:lang w:val="en-US"/>
        </w:rPr>
        <w:t xml:space="preserve"> </w:t>
      </w:r>
      <w:r w:rsidR="00526A97">
        <w:rPr>
          <w:sz w:val="26"/>
          <w:szCs w:val="26"/>
          <w:lang w:val="en-US"/>
        </w:rPr>
        <w:t>Therefore</w:t>
      </w:r>
      <w:r w:rsidR="008C523E">
        <w:rPr>
          <w:sz w:val="26"/>
          <w:szCs w:val="26"/>
          <w:lang w:val="en-US"/>
        </w:rPr>
        <w:t>, the data on TTX occurrence obtained in this study do not allow the conclusion that TTX represents a risk for public health</w:t>
      </w:r>
      <w:r w:rsidR="00A47F54">
        <w:rPr>
          <w:sz w:val="26"/>
          <w:szCs w:val="26"/>
          <w:lang w:val="en-US"/>
        </w:rPr>
        <w:t xml:space="preserve"> in Galicia</w:t>
      </w:r>
      <w:r w:rsidR="008C523E">
        <w:rPr>
          <w:sz w:val="26"/>
          <w:szCs w:val="26"/>
          <w:lang w:val="en-US"/>
        </w:rPr>
        <w:t>; nevertheless, additional data are still required and more studies are in course to obtain more occurrence data</w:t>
      </w:r>
      <w:r w:rsidR="000B5DE5">
        <w:rPr>
          <w:sz w:val="26"/>
          <w:szCs w:val="26"/>
          <w:lang w:val="en-US"/>
        </w:rPr>
        <w:t xml:space="preserve"> [2</w:t>
      </w:r>
      <w:r w:rsidR="008C523E">
        <w:rPr>
          <w:sz w:val="26"/>
          <w:szCs w:val="26"/>
          <w:lang w:val="en-US"/>
        </w:rPr>
        <w:t>].</w:t>
      </w:r>
    </w:p>
    <w:p w:rsidR="00E67DA1" w:rsidRPr="009F665C" w:rsidRDefault="00E67DA1" w:rsidP="00C94331">
      <w:pPr>
        <w:autoSpaceDE w:val="0"/>
        <w:autoSpaceDN w:val="0"/>
        <w:adjustRightInd w:val="0"/>
        <w:spacing w:line="240" w:lineRule="auto"/>
        <w:rPr>
          <w:sz w:val="26"/>
          <w:szCs w:val="26"/>
          <w:lang w:val="en-US"/>
        </w:rPr>
      </w:pPr>
    </w:p>
    <w:p w:rsidR="00E67DA1" w:rsidRPr="006511E3" w:rsidRDefault="006511E3" w:rsidP="00F115A4">
      <w:pPr>
        <w:autoSpaceDE w:val="0"/>
        <w:autoSpaceDN w:val="0"/>
        <w:adjustRightInd w:val="0"/>
        <w:spacing w:line="240" w:lineRule="auto"/>
        <w:jc w:val="both"/>
        <w:rPr>
          <w:b/>
          <w:bCs/>
          <w:sz w:val="26"/>
          <w:szCs w:val="26"/>
          <w:lang w:val="en-US"/>
        </w:rPr>
      </w:pPr>
      <w:r w:rsidRPr="006511E3">
        <w:rPr>
          <w:b/>
          <w:bCs/>
          <w:sz w:val="26"/>
          <w:szCs w:val="26"/>
          <w:lang w:val="en-US"/>
        </w:rPr>
        <w:t>AAC</w:t>
      </w:r>
      <w:r w:rsidR="005D552A">
        <w:rPr>
          <w:b/>
          <w:bCs/>
          <w:sz w:val="26"/>
          <w:szCs w:val="26"/>
          <w:lang w:val="en-US"/>
        </w:rPr>
        <w:t xml:space="preserve"> and MAC</w:t>
      </w:r>
      <w:r w:rsidR="00F115A4">
        <w:rPr>
          <w:b/>
          <w:bCs/>
          <w:sz w:val="26"/>
          <w:szCs w:val="26"/>
          <w:lang w:val="en-US"/>
        </w:rPr>
        <w:t xml:space="preserve"> opinion:</w:t>
      </w:r>
    </w:p>
    <w:p w:rsidR="00823B84" w:rsidRDefault="006511E3" w:rsidP="00F115A4">
      <w:pPr>
        <w:pStyle w:val="Paragraphedeliste"/>
        <w:numPr>
          <w:ilvl w:val="0"/>
          <w:numId w:val="5"/>
        </w:numPr>
        <w:autoSpaceDE w:val="0"/>
        <w:autoSpaceDN w:val="0"/>
        <w:adjustRightInd w:val="0"/>
        <w:spacing w:line="240" w:lineRule="auto"/>
        <w:jc w:val="both"/>
        <w:rPr>
          <w:sz w:val="26"/>
          <w:szCs w:val="26"/>
          <w:lang w:val="en-US"/>
        </w:rPr>
      </w:pPr>
      <w:r w:rsidRPr="00F115A4">
        <w:rPr>
          <w:sz w:val="26"/>
          <w:szCs w:val="26"/>
          <w:lang w:val="en-US"/>
        </w:rPr>
        <w:t>AAC</w:t>
      </w:r>
      <w:r w:rsidR="00F14BF3">
        <w:rPr>
          <w:sz w:val="26"/>
          <w:szCs w:val="26"/>
          <w:lang w:val="en-US"/>
        </w:rPr>
        <w:t xml:space="preserve"> and MAC reaffirm</w:t>
      </w:r>
      <w:r w:rsidR="00823B84" w:rsidRPr="00F115A4">
        <w:rPr>
          <w:sz w:val="26"/>
          <w:szCs w:val="26"/>
          <w:lang w:val="en-US"/>
        </w:rPr>
        <w:t xml:space="preserve"> that the health of consumers of its products remains a major priority</w:t>
      </w:r>
      <w:r w:rsidR="00E67DA1">
        <w:rPr>
          <w:sz w:val="26"/>
          <w:szCs w:val="26"/>
          <w:lang w:val="en-US"/>
        </w:rPr>
        <w:t xml:space="preserve"> </w:t>
      </w:r>
      <w:r w:rsidR="00823B84" w:rsidRPr="00F115A4">
        <w:rPr>
          <w:sz w:val="26"/>
          <w:szCs w:val="26"/>
          <w:lang w:val="en-US"/>
        </w:rPr>
        <w:t xml:space="preserve">; </w:t>
      </w:r>
    </w:p>
    <w:p w:rsidR="00F20936" w:rsidRPr="00F20936" w:rsidRDefault="00F20936" w:rsidP="00F20936">
      <w:pPr>
        <w:pStyle w:val="Paragraphedeliste"/>
        <w:autoSpaceDE w:val="0"/>
        <w:autoSpaceDN w:val="0"/>
        <w:adjustRightInd w:val="0"/>
        <w:spacing w:line="240" w:lineRule="auto"/>
        <w:jc w:val="both"/>
        <w:rPr>
          <w:sz w:val="26"/>
          <w:szCs w:val="26"/>
          <w:lang w:val="en-US"/>
        </w:rPr>
      </w:pPr>
    </w:p>
    <w:p w:rsidR="00A548D6" w:rsidRDefault="006511E3" w:rsidP="00A548D6">
      <w:pPr>
        <w:pStyle w:val="Paragraphedeliste"/>
        <w:numPr>
          <w:ilvl w:val="0"/>
          <w:numId w:val="5"/>
        </w:numPr>
        <w:autoSpaceDE w:val="0"/>
        <w:autoSpaceDN w:val="0"/>
        <w:adjustRightInd w:val="0"/>
        <w:spacing w:after="0" w:line="240" w:lineRule="auto"/>
        <w:jc w:val="both"/>
        <w:rPr>
          <w:sz w:val="26"/>
          <w:szCs w:val="26"/>
          <w:lang w:val="en-US"/>
        </w:rPr>
      </w:pPr>
      <w:r w:rsidRPr="00F115A4" w:rsidDel="002F38A2">
        <w:rPr>
          <w:sz w:val="26"/>
          <w:szCs w:val="26"/>
          <w:lang w:val="en-US"/>
        </w:rPr>
        <w:t>AAC</w:t>
      </w:r>
      <w:r w:rsidR="00F14BF3" w:rsidDel="002F38A2">
        <w:rPr>
          <w:sz w:val="26"/>
          <w:szCs w:val="26"/>
          <w:lang w:val="en-US"/>
        </w:rPr>
        <w:t xml:space="preserve"> and MAC underline</w:t>
      </w:r>
      <w:r w:rsidR="00823B84" w:rsidRPr="00F115A4" w:rsidDel="002F38A2">
        <w:rPr>
          <w:sz w:val="26"/>
          <w:szCs w:val="26"/>
          <w:lang w:val="en-US"/>
        </w:rPr>
        <w:t xml:space="preserve"> the threat to intra-Community trade and to the image of shellfish in general in connection with an unfounded "epidemic"</w:t>
      </w:r>
      <w:r w:rsidR="00E67DA1" w:rsidDel="002F38A2">
        <w:rPr>
          <w:sz w:val="26"/>
          <w:szCs w:val="26"/>
          <w:lang w:val="en-US"/>
        </w:rPr>
        <w:t xml:space="preserve"> </w:t>
      </w:r>
      <w:r w:rsidR="00823B84" w:rsidRPr="00F115A4" w:rsidDel="002F38A2">
        <w:rPr>
          <w:sz w:val="26"/>
          <w:szCs w:val="26"/>
          <w:lang w:val="en-US"/>
        </w:rPr>
        <w:t xml:space="preserve">; </w:t>
      </w:r>
    </w:p>
    <w:p w:rsidR="00A548D6" w:rsidRPr="00A548D6" w:rsidRDefault="00A548D6" w:rsidP="00A548D6">
      <w:pPr>
        <w:pStyle w:val="Paragraphedeliste"/>
        <w:rPr>
          <w:sz w:val="26"/>
          <w:szCs w:val="26"/>
          <w:lang w:val="en-US"/>
        </w:rPr>
      </w:pPr>
    </w:p>
    <w:p w:rsidR="00A548D6" w:rsidRDefault="00F115A4" w:rsidP="00A548D6">
      <w:pPr>
        <w:pStyle w:val="Paragraphedeliste"/>
        <w:numPr>
          <w:ilvl w:val="0"/>
          <w:numId w:val="5"/>
        </w:numPr>
        <w:autoSpaceDE w:val="0"/>
        <w:autoSpaceDN w:val="0"/>
        <w:adjustRightInd w:val="0"/>
        <w:spacing w:after="0" w:line="240" w:lineRule="auto"/>
        <w:jc w:val="both"/>
        <w:rPr>
          <w:sz w:val="26"/>
          <w:szCs w:val="26"/>
          <w:lang w:val="en-US"/>
        </w:rPr>
      </w:pPr>
      <w:r w:rsidRPr="00A548D6">
        <w:rPr>
          <w:sz w:val="26"/>
          <w:szCs w:val="26"/>
          <w:lang w:val="en-US"/>
        </w:rPr>
        <w:t>AAC</w:t>
      </w:r>
      <w:r w:rsidR="00F14BF3" w:rsidRPr="00A548D6">
        <w:rPr>
          <w:sz w:val="26"/>
          <w:szCs w:val="26"/>
          <w:lang w:val="en-US"/>
        </w:rPr>
        <w:t xml:space="preserve"> and MAC </w:t>
      </w:r>
      <w:r w:rsidR="00CF6847" w:rsidRPr="00A548D6">
        <w:rPr>
          <w:sz w:val="26"/>
          <w:szCs w:val="26"/>
          <w:lang w:val="en-US"/>
        </w:rPr>
        <w:t>underline</w:t>
      </w:r>
      <w:r w:rsidRPr="00A548D6">
        <w:rPr>
          <w:sz w:val="26"/>
          <w:szCs w:val="26"/>
          <w:lang w:val="en-US"/>
        </w:rPr>
        <w:t xml:space="preserve"> the need for more </w:t>
      </w:r>
      <w:r w:rsidR="002F38A2" w:rsidRPr="00A548D6">
        <w:rPr>
          <w:sz w:val="26"/>
          <w:szCs w:val="26"/>
          <w:lang w:val="en-US"/>
        </w:rPr>
        <w:t xml:space="preserve">- evidence based - </w:t>
      </w:r>
      <w:r w:rsidRPr="00A548D6">
        <w:rPr>
          <w:sz w:val="26"/>
          <w:szCs w:val="26"/>
          <w:lang w:val="en-US"/>
        </w:rPr>
        <w:t>information on TTX toxicity (toxicokinetics, oral toxicity, chronic effects, combination with STX) to reduce the uncertainty factors on a responsible way</w:t>
      </w:r>
      <w:r w:rsidR="00E67DA1" w:rsidRPr="00A548D6">
        <w:rPr>
          <w:sz w:val="26"/>
          <w:szCs w:val="26"/>
          <w:lang w:val="en-US"/>
        </w:rPr>
        <w:t xml:space="preserve"> </w:t>
      </w:r>
      <w:r w:rsidRPr="00A548D6">
        <w:rPr>
          <w:sz w:val="26"/>
          <w:szCs w:val="26"/>
          <w:lang w:val="en-US"/>
        </w:rPr>
        <w:t xml:space="preserve">; </w:t>
      </w:r>
    </w:p>
    <w:p w:rsidR="00A548D6" w:rsidRDefault="00A548D6">
      <w:pPr>
        <w:rPr>
          <w:sz w:val="26"/>
          <w:szCs w:val="26"/>
          <w:lang w:val="en-US"/>
        </w:rPr>
      </w:pPr>
      <w:r>
        <w:rPr>
          <w:sz w:val="26"/>
          <w:szCs w:val="26"/>
          <w:lang w:val="en-US"/>
        </w:rPr>
        <w:br w:type="page"/>
      </w:r>
    </w:p>
    <w:p w:rsidR="00A548D6" w:rsidRDefault="00F115A4" w:rsidP="00A548D6">
      <w:pPr>
        <w:pStyle w:val="Paragraphedeliste"/>
        <w:numPr>
          <w:ilvl w:val="0"/>
          <w:numId w:val="5"/>
        </w:numPr>
        <w:autoSpaceDE w:val="0"/>
        <w:autoSpaceDN w:val="0"/>
        <w:adjustRightInd w:val="0"/>
        <w:spacing w:after="0" w:line="240" w:lineRule="auto"/>
        <w:jc w:val="both"/>
        <w:rPr>
          <w:sz w:val="26"/>
          <w:szCs w:val="26"/>
          <w:lang w:val="en-US"/>
        </w:rPr>
      </w:pPr>
      <w:r w:rsidRPr="00A548D6">
        <w:rPr>
          <w:sz w:val="26"/>
          <w:szCs w:val="26"/>
          <w:lang w:val="en-US"/>
        </w:rPr>
        <w:t>AAC</w:t>
      </w:r>
      <w:r w:rsidR="00F14BF3" w:rsidRPr="00A548D6">
        <w:rPr>
          <w:sz w:val="26"/>
          <w:szCs w:val="26"/>
          <w:lang w:val="en-US"/>
        </w:rPr>
        <w:t xml:space="preserve"> and MAC stress</w:t>
      </w:r>
      <w:r w:rsidR="00515031" w:rsidRPr="00A548D6">
        <w:rPr>
          <w:sz w:val="26"/>
          <w:szCs w:val="26"/>
          <w:lang w:val="en-US"/>
        </w:rPr>
        <w:t xml:space="preserve"> the need for</w:t>
      </w:r>
      <w:r w:rsidRPr="00A548D6">
        <w:rPr>
          <w:sz w:val="26"/>
          <w:szCs w:val="26"/>
          <w:lang w:val="en-US"/>
        </w:rPr>
        <w:t xml:space="preserve"> more occurrence data on TTX from different EU waters to provide a more reliable exp</w:t>
      </w:r>
      <w:r w:rsidR="00515031" w:rsidRPr="00A548D6">
        <w:rPr>
          <w:sz w:val="26"/>
          <w:szCs w:val="26"/>
          <w:lang w:val="en-US"/>
        </w:rPr>
        <w:t>osure assessment and the need for</w:t>
      </w:r>
      <w:r w:rsidRPr="00A548D6">
        <w:rPr>
          <w:sz w:val="26"/>
          <w:szCs w:val="26"/>
          <w:lang w:val="en-US"/>
        </w:rPr>
        <w:t xml:space="preserve"> studies to the source and accumulation</w:t>
      </w:r>
      <w:r w:rsidR="00E67DA1" w:rsidRPr="00A548D6">
        <w:rPr>
          <w:sz w:val="26"/>
          <w:szCs w:val="26"/>
          <w:lang w:val="en-US"/>
        </w:rPr>
        <w:t xml:space="preserve"> </w:t>
      </w:r>
      <w:r w:rsidRPr="00A548D6">
        <w:rPr>
          <w:sz w:val="26"/>
          <w:szCs w:val="26"/>
          <w:lang w:val="en-US"/>
        </w:rPr>
        <w:t>;</w:t>
      </w:r>
    </w:p>
    <w:p w:rsidR="00A548D6" w:rsidRPr="00A548D6" w:rsidRDefault="00A548D6" w:rsidP="00A548D6">
      <w:pPr>
        <w:pStyle w:val="Paragraphedeliste"/>
        <w:rPr>
          <w:sz w:val="26"/>
          <w:szCs w:val="26"/>
          <w:lang w:val="en-US"/>
        </w:rPr>
      </w:pPr>
    </w:p>
    <w:p w:rsidR="00654082" w:rsidRDefault="00C94331" w:rsidP="00A548D6">
      <w:pPr>
        <w:pStyle w:val="Paragraphedeliste"/>
        <w:numPr>
          <w:ilvl w:val="0"/>
          <w:numId w:val="5"/>
        </w:numPr>
        <w:autoSpaceDE w:val="0"/>
        <w:autoSpaceDN w:val="0"/>
        <w:adjustRightInd w:val="0"/>
        <w:spacing w:after="0" w:line="240" w:lineRule="auto"/>
        <w:jc w:val="both"/>
        <w:rPr>
          <w:sz w:val="26"/>
          <w:szCs w:val="26"/>
          <w:lang w:val="en-US"/>
        </w:rPr>
      </w:pPr>
      <w:r w:rsidRPr="00A548D6">
        <w:rPr>
          <w:sz w:val="26"/>
          <w:szCs w:val="26"/>
          <w:lang w:val="en-US"/>
        </w:rPr>
        <w:t xml:space="preserve">AAC and MAC </w:t>
      </w:r>
      <w:r w:rsidR="00E13092" w:rsidRPr="00A548D6">
        <w:rPr>
          <w:sz w:val="26"/>
          <w:szCs w:val="26"/>
          <w:lang w:val="en-US"/>
        </w:rPr>
        <w:t>welcome the ongoing definition</w:t>
      </w:r>
      <w:r w:rsidRPr="00A548D6">
        <w:rPr>
          <w:sz w:val="26"/>
          <w:szCs w:val="26"/>
          <w:lang w:val="en-US"/>
        </w:rPr>
        <w:t xml:space="preserve"> of a validated European reference method between the Member States with regard to the introduction</w:t>
      </w:r>
      <w:r w:rsidR="00654082">
        <w:rPr>
          <w:sz w:val="26"/>
          <w:szCs w:val="26"/>
          <w:lang w:val="en-US"/>
        </w:rPr>
        <w:t>;</w:t>
      </w:r>
    </w:p>
    <w:p w:rsidR="00654082" w:rsidRPr="00654082" w:rsidRDefault="00654082" w:rsidP="00654082">
      <w:pPr>
        <w:pStyle w:val="Paragraphedeliste"/>
        <w:rPr>
          <w:sz w:val="26"/>
          <w:szCs w:val="26"/>
          <w:lang w:val="en-US"/>
        </w:rPr>
      </w:pPr>
    </w:p>
    <w:p w:rsidR="00F20936" w:rsidRPr="0014060C" w:rsidRDefault="00654082" w:rsidP="0014060C">
      <w:pPr>
        <w:pStyle w:val="Paragraphedeliste"/>
        <w:numPr>
          <w:ilvl w:val="0"/>
          <w:numId w:val="5"/>
        </w:numPr>
        <w:autoSpaceDE w:val="0"/>
        <w:autoSpaceDN w:val="0"/>
        <w:adjustRightInd w:val="0"/>
        <w:spacing w:after="0" w:line="240" w:lineRule="auto"/>
        <w:jc w:val="both"/>
        <w:rPr>
          <w:sz w:val="26"/>
          <w:szCs w:val="26"/>
          <w:lang w:val="en-US"/>
        </w:rPr>
        <w:sectPr w:rsidR="00F20936" w:rsidRPr="0014060C" w:rsidSect="00A548D6">
          <w:headerReference w:type="default" r:id="rId9"/>
          <w:footerReference w:type="default" r:id="rId10"/>
          <w:headerReference w:type="first" r:id="rId11"/>
          <w:pgSz w:w="11906" w:h="16838"/>
          <w:pgMar w:top="1417" w:right="1417" w:bottom="1417" w:left="1417" w:header="708" w:footer="708" w:gutter="0"/>
          <w:pgNumType w:start="1"/>
          <w:cols w:space="708"/>
          <w:docGrid w:linePitch="360"/>
        </w:sectPr>
      </w:pPr>
      <w:r>
        <w:rPr>
          <w:sz w:val="26"/>
          <w:szCs w:val="26"/>
          <w:lang w:val="en-US"/>
        </w:rPr>
        <w:t>AAC and MAC request</w:t>
      </w:r>
      <w:r w:rsidR="0014060C">
        <w:rPr>
          <w:sz w:val="26"/>
          <w:szCs w:val="26"/>
          <w:lang w:val="en-US"/>
        </w:rPr>
        <w:t xml:space="preserve"> to conduct a risk assessment w</w:t>
      </w:r>
      <w:r>
        <w:rPr>
          <w:sz w:val="26"/>
          <w:szCs w:val="26"/>
          <w:lang w:val="en-US"/>
        </w:rPr>
        <w:t xml:space="preserve">hen </w:t>
      </w:r>
      <w:r w:rsidR="008A68AC">
        <w:rPr>
          <w:sz w:val="26"/>
          <w:szCs w:val="26"/>
          <w:lang w:val="en-US"/>
        </w:rPr>
        <w:t xml:space="preserve">sufficient – evidence based - </w:t>
      </w:r>
      <w:r w:rsidR="0014060C">
        <w:rPr>
          <w:sz w:val="26"/>
          <w:szCs w:val="26"/>
          <w:lang w:val="en-US"/>
        </w:rPr>
        <w:t>data on TTX toxicity, source and accumulation are available.</w:t>
      </w:r>
    </w:p>
    <w:p w:rsidR="00080898" w:rsidRPr="00FF1FEB" w:rsidRDefault="00F20936" w:rsidP="00080898">
      <w:pPr>
        <w:rPr>
          <w:rFonts w:eastAsia="Microsoft JhengHei"/>
          <w:b/>
          <w:sz w:val="26"/>
          <w:szCs w:val="26"/>
          <w:lang w:val="en-US"/>
        </w:rPr>
      </w:pPr>
      <w:r w:rsidRPr="00FF1FEB">
        <w:rPr>
          <w:rFonts w:eastAsia="Microsoft JhengHei"/>
          <w:b/>
          <w:sz w:val="26"/>
          <w:szCs w:val="26"/>
          <w:lang w:val="en-US"/>
        </w:rPr>
        <w:t>References</w:t>
      </w:r>
      <w:r w:rsidR="00823B84" w:rsidRPr="00FF1FEB">
        <w:rPr>
          <w:rFonts w:eastAsia="Microsoft JhengHei"/>
          <w:b/>
          <w:sz w:val="26"/>
          <w:szCs w:val="26"/>
          <w:lang w:val="en-US"/>
        </w:rPr>
        <w:t> :</w:t>
      </w:r>
    </w:p>
    <w:p w:rsidR="00080898" w:rsidRDefault="00080898" w:rsidP="00080898">
      <w:pPr>
        <w:pStyle w:val="Paragraphedeliste"/>
        <w:numPr>
          <w:ilvl w:val="0"/>
          <w:numId w:val="12"/>
        </w:numPr>
        <w:spacing w:before="160"/>
        <w:ind w:left="828" w:hanging="471"/>
        <w:contextualSpacing w:val="0"/>
        <w:rPr>
          <w:rFonts w:eastAsia="Microsoft JhengHei"/>
          <w:szCs w:val="24"/>
          <w:lang w:val="en-US"/>
        </w:rPr>
      </w:pPr>
      <w:r>
        <w:rPr>
          <w:rFonts w:eastAsia="Microsoft JhengHei"/>
          <w:szCs w:val="24"/>
          <w:lang w:val="en-US"/>
        </w:rPr>
        <w:t>Ban V</w:t>
      </w:r>
      <w:r w:rsidRPr="00FC68F0">
        <w:rPr>
          <w:rFonts w:eastAsia="Microsoft JhengHei"/>
          <w:szCs w:val="24"/>
          <w:lang w:val="en-US"/>
        </w:rPr>
        <w:t>.,</w:t>
      </w:r>
      <w:r>
        <w:rPr>
          <w:rFonts w:eastAsia="Microsoft JhengHei"/>
          <w:szCs w:val="24"/>
          <w:lang w:val="en-US"/>
        </w:rPr>
        <w:t xml:space="preserve"> Lehane M., Dikshit M., O’Riordan A. and Furey A., 2014. Tetrodotoxin : Chemistry, Toxicity, Source, Distribution and Detection [online]. Available on : </w:t>
      </w:r>
      <w:hyperlink r:id="rId12" w:history="1">
        <w:r w:rsidRPr="00C50CD4">
          <w:rPr>
            <w:rStyle w:val="Lienhypertexte"/>
            <w:rFonts w:eastAsia="Microsoft JhengHei"/>
            <w:szCs w:val="24"/>
            <w:lang w:val="en-US"/>
          </w:rPr>
          <w:t>https://www.ncbi.nlm.nih.gov/pmc/articles/PMC3942760/</w:t>
        </w:r>
      </w:hyperlink>
      <w:r>
        <w:rPr>
          <w:rFonts w:eastAsia="Microsoft JhengHei"/>
          <w:szCs w:val="24"/>
          <w:lang w:val="en-US"/>
        </w:rPr>
        <w:t>. Viewed on 27/02/2018.</w:t>
      </w:r>
    </w:p>
    <w:p w:rsidR="00080898" w:rsidRPr="00BE3531" w:rsidRDefault="00080898" w:rsidP="00080898">
      <w:pPr>
        <w:pStyle w:val="Paragraphedeliste"/>
        <w:numPr>
          <w:ilvl w:val="0"/>
          <w:numId w:val="12"/>
        </w:numPr>
        <w:ind w:left="771" w:hanging="414"/>
        <w:contextualSpacing w:val="0"/>
        <w:rPr>
          <w:rFonts w:eastAsia="Microsoft JhengHei"/>
          <w:szCs w:val="24"/>
          <w:lang w:val="en-US"/>
        </w:rPr>
      </w:pPr>
      <w:r w:rsidRPr="0037192F">
        <w:rPr>
          <w:bCs/>
          <w:szCs w:val="24"/>
          <w:lang w:val="it-IT"/>
        </w:rPr>
        <w:t xml:space="preserve">Leao J.M., Lozano-Leon A., Giraldez J., Vilarino O. et Gago-Martinez A., 2018. </w:t>
      </w:r>
      <w:r>
        <w:rPr>
          <w:bCs/>
          <w:szCs w:val="24"/>
          <w:lang w:val="en-US"/>
        </w:rPr>
        <w:t xml:space="preserve">Preliminary Results on the Evaluation of the Occurrence of Tetrodotoxin Associated to Marine </w:t>
      </w:r>
      <w:r w:rsidRPr="00022BF8">
        <w:rPr>
          <w:bCs/>
          <w:i/>
          <w:szCs w:val="24"/>
          <w:lang w:val="en-US"/>
        </w:rPr>
        <w:t>Vibrio</w:t>
      </w:r>
      <w:r>
        <w:rPr>
          <w:bCs/>
          <w:szCs w:val="24"/>
          <w:lang w:val="en-US"/>
        </w:rPr>
        <w:t xml:space="preserve"> spp. In Bivalves from the Galician Rias (Northwest of Spain)</w:t>
      </w:r>
    </w:p>
    <w:p w:rsidR="00080898" w:rsidRPr="005E77F8" w:rsidRDefault="00080898" w:rsidP="00080898">
      <w:pPr>
        <w:pStyle w:val="Paragraphedeliste"/>
        <w:numPr>
          <w:ilvl w:val="0"/>
          <w:numId w:val="12"/>
        </w:numPr>
        <w:ind w:left="771" w:hanging="414"/>
        <w:contextualSpacing w:val="0"/>
        <w:rPr>
          <w:rFonts w:eastAsia="Microsoft JhengHei"/>
          <w:szCs w:val="24"/>
          <w:lang w:val="en-US"/>
        </w:rPr>
      </w:pPr>
      <w:r w:rsidRPr="0037192F">
        <w:rPr>
          <w:bCs/>
          <w:szCs w:val="24"/>
          <w:lang w:val="es-ES"/>
        </w:rPr>
        <w:t xml:space="preserve">Pratheepa V., Alex A., Vasconcelos M. 2016. </w:t>
      </w:r>
      <w:r>
        <w:rPr>
          <w:bCs/>
          <w:szCs w:val="24"/>
          <w:lang w:val="en-US"/>
        </w:rPr>
        <w:t>Bacterial diversity and tetrodotoxin analysis in the viscera of gastropods from Portuguese coasts. Toxicon 2016, 19, 186-193.</w:t>
      </w:r>
    </w:p>
    <w:p w:rsidR="00080898" w:rsidRPr="005E77F8" w:rsidRDefault="00080898" w:rsidP="00080898">
      <w:pPr>
        <w:pStyle w:val="Paragraphedeliste"/>
        <w:numPr>
          <w:ilvl w:val="0"/>
          <w:numId w:val="12"/>
        </w:numPr>
        <w:ind w:left="828" w:hanging="471"/>
        <w:contextualSpacing w:val="0"/>
        <w:rPr>
          <w:rFonts w:eastAsia="Microsoft JhengHei"/>
          <w:szCs w:val="24"/>
          <w:lang w:val="en-US"/>
        </w:rPr>
      </w:pPr>
      <w:r w:rsidRPr="002B2F47">
        <w:rPr>
          <w:szCs w:val="24"/>
          <w:lang w:val="en-US"/>
        </w:rPr>
        <w:t xml:space="preserve">Vlamis, A., Katikou, P., Rodriguez, I., Rey, V., Alfonso, A., Papazachariou, A., Zacharaki, T., Botana, A.M., Botana L.M., 2015. </w:t>
      </w:r>
      <w:r w:rsidRPr="002B2F47">
        <w:rPr>
          <w:bCs/>
          <w:color w:val="000000"/>
          <w:szCs w:val="24"/>
          <w:lang w:val="en-US"/>
        </w:rPr>
        <w:t xml:space="preserve">First Detection of Tetrodotoxin in Greek Shellfish by UPLC-MS/MS Potentially Linked to the Presence of the Dinoflagellate </w:t>
      </w:r>
      <w:r w:rsidRPr="002B2F47">
        <w:rPr>
          <w:bCs/>
          <w:i/>
          <w:iCs/>
          <w:color w:val="000000"/>
          <w:szCs w:val="24"/>
          <w:lang w:val="en-US"/>
        </w:rPr>
        <w:t>Prorocentrum minimum</w:t>
      </w:r>
      <w:r w:rsidRPr="002B2F47">
        <w:rPr>
          <w:bCs/>
          <w:iCs/>
          <w:color w:val="000000"/>
          <w:szCs w:val="24"/>
          <w:lang w:val="en-US"/>
        </w:rPr>
        <w:t xml:space="preserve">. Toxins, 7(5), 1779-1807. Available on: </w:t>
      </w:r>
      <w:hyperlink r:id="rId13" w:history="1">
        <w:r w:rsidRPr="002B2F47">
          <w:rPr>
            <w:rStyle w:val="Lienhypertexte"/>
            <w:bCs/>
            <w:iCs/>
            <w:szCs w:val="24"/>
            <w:lang w:val="en-US"/>
          </w:rPr>
          <w:t>http://www.mdpi.com/2072-6651/7/5/1779</w:t>
        </w:r>
      </w:hyperlink>
      <w:r w:rsidRPr="002B2F47">
        <w:rPr>
          <w:bCs/>
          <w:iCs/>
          <w:color w:val="000000"/>
          <w:szCs w:val="24"/>
          <w:lang w:val="en-US"/>
        </w:rPr>
        <w:t xml:space="preserve"> </w:t>
      </w:r>
    </w:p>
    <w:p w:rsidR="00080898" w:rsidRPr="005E77F8" w:rsidRDefault="00080898" w:rsidP="00080898">
      <w:pPr>
        <w:pStyle w:val="Paragraphedeliste"/>
        <w:numPr>
          <w:ilvl w:val="0"/>
          <w:numId w:val="12"/>
        </w:numPr>
        <w:ind w:left="771" w:hanging="414"/>
        <w:contextualSpacing w:val="0"/>
        <w:rPr>
          <w:rFonts w:eastAsia="Microsoft JhengHei"/>
          <w:szCs w:val="24"/>
          <w:lang w:val="en-US"/>
        </w:rPr>
      </w:pPr>
      <w:r w:rsidRPr="008A68AC">
        <w:rPr>
          <w:rFonts w:eastAsia="Microsoft JhengHei"/>
          <w:szCs w:val="24"/>
          <w:lang w:val="en-US"/>
        </w:rPr>
        <w:t xml:space="preserve">Rodriguez I., Alfonso A., Alonso E., Rubiolo J., Roel M., Vlamis A., Katikou P., Jackson S., Lekha Menon M., Dobson A. et al, 2017. </w:t>
      </w:r>
      <w:r w:rsidRPr="00A44D99">
        <w:rPr>
          <w:rFonts w:eastAsia="Microsoft JhengHei"/>
          <w:szCs w:val="24"/>
          <w:lang w:val="en-US"/>
        </w:rPr>
        <w:t>The association of bacterial C9-based TTX-lik</w:t>
      </w:r>
      <w:r>
        <w:rPr>
          <w:rFonts w:eastAsia="Microsoft JhengHei"/>
          <w:szCs w:val="24"/>
          <w:lang w:val="en-US"/>
        </w:rPr>
        <w:t>e</w:t>
      </w:r>
      <w:r w:rsidRPr="00A44D99">
        <w:rPr>
          <w:rFonts w:eastAsia="Microsoft JhengHei"/>
          <w:szCs w:val="24"/>
          <w:lang w:val="en-US"/>
        </w:rPr>
        <w:t xml:space="preserve"> comp</w:t>
      </w:r>
      <w:r>
        <w:rPr>
          <w:rFonts w:eastAsia="Microsoft JhengHei"/>
          <w:szCs w:val="24"/>
          <w:lang w:val="en-US"/>
        </w:rPr>
        <w:t xml:space="preserve">ounds with </w:t>
      </w:r>
      <w:r w:rsidRPr="00A44D99">
        <w:rPr>
          <w:rFonts w:eastAsia="Microsoft JhengHei"/>
          <w:i/>
          <w:szCs w:val="24"/>
          <w:lang w:val="en-US"/>
        </w:rPr>
        <w:t>Prorocentrum</w:t>
      </w:r>
      <w:r>
        <w:rPr>
          <w:rFonts w:eastAsia="Microsoft JhengHei"/>
          <w:szCs w:val="24"/>
          <w:lang w:val="en-US"/>
        </w:rPr>
        <w:t xml:space="preserve"> </w:t>
      </w:r>
      <w:r w:rsidRPr="00A44D99">
        <w:rPr>
          <w:rFonts w:eastAsia="Microsoft JhengHei"/>
          <w:i/>
          <w:szCs w:val="24"/>
          <w:lang w:val="en-US"/>
        </w:rPr>
        <w:t>minimum</w:t>
      </w:r>
      <w:r>
        <w:rPr>
          <w:rFonts w:eastAsia="Microsoft JhengHei"/>
          <w:szCs w:val="24"/>
          <w:lang w:val="en-US"/>
        </w:rPr>
        <w:t xml:space="preserve"> opens new uncertainties about shellfish seafood safety. Sci. Rep. 2017, 7, 40880.</w:t>
      </w:r>
    </w:p>
    <w:p w:rsidR="00080898" w:rsidRPr="00FC68F0" w:rsidRDefault="00080898" w:rsidP="00080898">
      <w:pPr>
        <w:pStyle w:val="Paragraphedeliste"/>
        <w:numPr>
          <w:ilvl w:val="0"/>
          <w:numId w:val="12"/>
        </w:numPr>
        <w:spacing w:before="160"/>
        <w:ind w:left="828" w:hanging="471"/>
        <w:contextualSpacing w:val="0"/>
        <w:rPr>
          <w:lang w:val="en-US"/>
        </w:rPr>
      </w:pPr>
      <w:r w:rsidRPr="0037192F">
        <w:rPr>
          <w:rFonts w:eastAsia="Microsoft JhengHei"/>
          <w:szCs w:val="24"/>
          <w:lang w:val="es-ES"/>
        </w:rPr>
        <w:t xml:space="preserve">Rodríguez P., Alfonso A., Otero P., Katikou P., Georgantelis D. and Botana LM., 2012. </w:t>
      </w:r>
      <w:r w:rsidRPr="00FC68F0">
        <w:rPr>
          <w:rFonts w:eastAsia="Microsoft JhengHei"/>
          <w:szCs w:val="24"/>
          <w:lang w:val="en-US"/>
        </w:rPr>
        <w:t xml:space="preserve">Liquid chromatography-mass spectrometry method to detect Tetrodotoxin and Its analogues in the puffer fish </w:t>
      </w:r>
      <w:r w:rsidRPr="00FC68F0">
        <w:rPr>
          <w:rFonts w:eastAsia="Microsoft JhengHei"/>
          <w:i/>
          <w:iCs/>
          <w:szCs w:val="24"/>
          <w:lang w:val="en-US"/>
        </w:rPr>
        <w:t>Lagocephalus sceleratus</w:t>
      </w:r>
      <w:r w:rsidRPr="00FC68F0">
        <w:rPr>
          <w:rFonts w:eastAsia="Microsoft JhengHei"/>
          <w:szCs w:val="24"/>
          <w:lang w:val="en-US"/>
        </w:rPr>
        <w:t xml:space="preserve"> (Gmelin, 1789) from European waters</w:t>
      </w:r>
    </w:p>
    <w:p w:rsidR="00080898" w:rsidRPr="00FC68F0" w:rsidRDefault="00080898" w:rsidP="00080898">
      <w:pPr>
        <w:pStyle w:val="Paragraphedeliste"/>
        <w:numPr>
          <w:ilvl w:val="0"/>
          <w:numId w:val="12"/>
        </w:numPr>
        <w:spacing w:before="160"/>
        <w:ind w:left="828" w:hanging="471"/>
        <w:contextualSpacing w:val="0"/>
        <w:rPr>
          <w:rFonts w:eastAsia="Microsoft JhengHei"/>
          <w:szCs w:val="24"/>
          <w:lang w:val="en-US"/>
        </w:rPr>
      </w:pPr>
      <w:r w:rsidRPr="00FC68F0">
        <w:rPr>
          <w:rFonts w:eastAsia="Microsoft JhengHei"/>
          <w:szCs w:val="24"/>
          <w:lang w:val="en-US"/>
        </w:rPr>
        <w:t>Nzoughet JK., Campbell K., Barnes P., Cooper KM., Chevallier OP. and Elliott CT.</w:t>
      </w:r>
      <w:r>
        <w:rPr>
          <w:rFonts w:eastAsia="Microsoft JhengHei"/>
          <w:szCs w:val="24"/>
          <w:lang w:val="en-US"/>
        </w:rPr>
        <w:t>,</w:t>
      </w:r>
      <w:r w:rsidRPr="00FC68F0">
        <w:rPr>
          <w:rFonts w:eastAsia="Microsoft JhengHei"/>
          <w:szCs w:val="24"/>
          <w:lang w:val="en-US"/>
        </w:rPr>
        <w:t xml:space="preserve"> 2012. Comparison of sample preparation methods, validation of an UPLC-MS/MS procedure for the quantification of tetrodotoxin present in marine gastropods and analysis of pufferfish</w:t>
      </w:r>
    </w:p>
    <w:p w:rsidR="00080898" w:rsidRDefault="00080898" w:rsidP="00080898">
      <w:pPr>
        <w:pStyle w:val="Paragraphedeliste"/>
        <w:numPr>
          <w:ilvl w:val="0"/>
          <w:numId w:val="12"/>
        </w:numPr>
        <w:spacing w:line="240" w:lineRule="auto"/>
        <w:ind w:left="828" w:hanging="471"/>
        <w:contextualSpacing w:val="0"/>
        <w:rPr>
          <w:rFonts w:eastAsia="Microsoft JhengHei"/>
          <w:szCs w:val="24"/>
          <w:lang w:val="en-US"/>
        </w:rPr>
      </w:pPr>
      <w:r w:rsidRPr="00FC68F0">
        <w:rPr>
          <w:rFonts w:eastAsia="Microsoft JhengHei"/>
          <w:szCs w:val="24"/>
          <w:lang w:val="en-US"/>
        </w:rPr>
        <w:t>Katikou P., Georgantelis D., Sinouris N., Petsi A. and Fotaras T.</w:t>
      </w:r>
      <w:r>
        <w:rPr>
          <w:rFonts w:eastAsia="Microsoft JhengHei"/>
          <w:szCs w:val="24"/>
          <w:lang w:val="en-US"/>
        </w:rPr>
        <w:t>,</w:t>
      </w:r>
      <w:r w:rsidRPr="00FC68F0">
        <w:rPr>
          <w:rFonts w:eastAsia="Microsoft JhengHei"/>
          <w:szCs w:val="24"/>
          <w:lang w:val="en-US"/>
        </w:rPr>
        <w:t xml:space="preserve"> 2009. First report on toxicity assessment of the Lessepsian migrant pufferfish Lagocephalus sceleratus (Gmelin, 1789) from European waters (Aegean Sea, Greece).</w:t>
      </w:r>
    </w:p>
    <w:p w:rsidR="00080898" w:rsidRPr="009171AB" w:rsidRDefault="00080898" w:rsidP="00080898">
      <w:pPr>
        <w:pStyle w:val="Paragraphedeliste"/>
        <w:numPr>
          <w:ilvl w:val="0"/>
          <w:numId w:val="12"/>
        </w:numPr>
        <w:spacing w:line="240" w:lineRule="auto"/>
        <w:ind w:left="828" w:hanging="471"/>
        <w:contextualSpacing w:val="0"/>
        <w:rPr>
          <w:rStyle w:val="element-citation"/>
          <w:rFonts w:eastAsia="Microsoft JhengHei"/>
          <w:szCs w:val="24"/>
          <w:lang w:val="en-US"/>
        </w:rPr>
      </w:pPr>
      <w:r w:rsidRPr="009171AB">
        <w:rPr>
          <w:rStyle w:val="element-citation"/>
          <w:lang w:val="en-US"/>
        </w:rPr>
        <w:t>Cassiday L.</w:t>
      </w:r>
      <w:r>
        <w:rPr>
          <w:rStyle w:val="element-citation"/>
          <w:lang w:val="en-US"/>
        </w:rPr>
        <w:t>, 2008.</w:t>
      </w:r>
      <w:r w:rsidRPr="009171AB">
        <w:rPr>
          <w:rStyle w:val="element-citation"/>
          <w:lang w:val="en-US"/>
        </w:rPr>
        <w:t xml:space="preserve"> First report of TTX in a European trumpet shell. Anal. Chem.</w:t>
      </w:r>
    </w:p>
    <w:p w:rsidR="00080898" w:rsidRDefault="00080898" w:rsidP="00080898">
      <w:pPr>
        <w:pStyle w:val="Paragraphedeliste"/>
        <w:numPr>
          <w:ilvl w:val="0"/>
          <w:numId w:val="12"/>
        </w:numPr>
        <w:spacing w:line="240" w:lineRule="auto"/>
        <w:ind w:left="828" w:hanging="471"/>
        <w:contextualSpacing w:val="0"/>
        <w:rPr>
          <w:rFonts w:eastAsia="Microsoft JhengHei"/>
          <w:szCs w:val="24"/>
          <w:lang w:val="en-US"/>
        </w:rPr>
      </w:pPr>
      <w:r w:rsidRPr="0037192F">
        <w:rPr>
          <w:rFonts w:eastAsia="Microsoft JhengHei"/>
          <w:szCs w:val="24"/>
          <w:lang w:val="es-ES"/>
        </w:rPr>
        <w:t xml:space="preserve">Rodriguez P., Alfonso A., Vale C., Alfonso C., Vale P., Tellez A. and Botana L.M., 2008. </w:t>
      </w:r>
      <w:r w:rsidRPr="009171AB">
        <w:rPr>
          <w:rFonts w:eastAsia="Microsoft JhengHei"/>
          <w:szCs w:val="24"/>
          <w:lang w:val="en-US"/>
        </w:rPr>
        <w:t xml:space="preserve">First toxicity report of tetrodotoxin and 5,6,11-TrideoxyTTX in the trumpet shell </w:t>
      </w:r>
      <w:r w:rsidRPr="00827579">
        <w:rPr>
          <w:rFonts w:eastAsia="Microsoft JhengHei"/>
          <w:i/>
          <w:szCs w:val="24"/>
          <w:lang w:val="en-US"/>
        </w:rPr>
        <w:t>Charonia</w:t>
      </w:r>
      <w:r w:rsidRPr="009171AB">
        <w:rPr>
          <w:rFonts w:eastAsia="Microsoft JhengHei"/>
          <w:szCs w:val="24"/>
          <w:lang w:val="en-US"/>
        </w:rPr>
        <w:t xml:space="preserve"> </w:t>
      </w:r>
      <w:r w:rsidRPr="00827579">
        <w:rPr>
          <w:rFonts w:eastAsia="Microsoft JhengHei"/>
          <w:i/>
          <w:szCs w:val="24"/>
          <w:lang w:val="en-US"/>
        </w:rPr>
        <w:t>lampas</w:t>
      </w:r>
      <w:r w:rsidRPr="009171AB">
        <w:rPr>
          <w:rFonts w:eastAsia="Microsoft JhengHei"/>
          <w:szCs w:val="24"/>
          <w:lang w:val="en-US"/>
        </w:rPr>
        <w:t xml:space="preserve"> </w:t>
      </w:r>
      <w:r w:rsidRPr="00827579">
        <w:rPr>
          <w:rFonts w:eastAsia="Microsoft JhengHei"/>
          <w:i/>
          <w:szCs w:val="24"/>
          <w:lang w:val="en-US"/>
        </w:rPr>
        <w:t>lampas</w:t>
      </w:r>
      <w:r w:rsidRPr="009171AB">
        <w:rPr>
          <w:rFonts w:eastAsia="Microsoft JhengHei"/>
          <w:szCs w:val="24"/>
          <w:lang w:val="en-US"/>
        </w:rPr>
        <w:t xml:space="preserve"> in Europe</w:t>
      </w:r>
    </w:p>
    <w:p w:rsidR="00080898" w:rsidRPr="005E77F8" w:rsidRDefault="00080898" w:rsidP="00080898">
      <w:pPr>
        <w:pStyle w:val="Paragraphedeliste"/>
        <w:numPr>
          <w:ilvl w:val="0"/>
          <w:numId w:val="12"/>
        </w:numPr>
        <w:ind w:left="771" w:hanging="414"/>
        <w:contextualSpacing w:val="0"/>
        <w:rPr>
          <w:rFonts w:eastAsia="Microsoft JhengHei"/>
          <w:szCs w:val="24"/>
          <w:lang w:val="en-US"/>
        </w:rPr>
      </w:pPr>
      <w:r>
        <w:rPr>
          <w:bCs/>
          <w:color w:val="70AD47" w:themeColor="accent6"/>
          <w:szCs w:val="24"/>
          <w:lang w:val="en-US"/>
        </w:rPr>
        <w:t xml:space="preserve"> </w:t>
      </w:r>
      <w:r>
        <w:rPr>
          <w:bCs/>
          <w:szCs w:val="24"/>
          <w:lang w:val="en-US"/>
        </w:rPr>
        <w:t>Turner A.D., Powell A., Schofield A., Lees D.N., Baker-Austin C. 2015. Detection of the pufferfish toxin tetrodotoxin in European bivalves. Euro Surveill. 2015, 20, 21009.</w:t>
      </w:r>
    </w:p>
    <w:p w:rsidR="00080898" w:rsidRPr="00022BF8" w:rsidRDefault="00080898" w:rsidP="00080898">
      <w:pPr>
        <w:pStyle w:val="Paragraphedeliste"/>
        <w:numPr>
          <w:ilvl w:val="0"/>
          <w:numId w:val="12"/>
        </w:numPr>
        <w:ind w:left="771" w:hanging="414"/>
        <w:contextualSpacing w:val="0"/>
        <w:rPr>
          <w:rFonts w:eastAsia="Microsoft JhengHei"/>
          <w:szCs w:val="24"/>
          <w:lang w:val="en-US"/>
        </w:rPr>
      </w:pPr>
      <w:r>
        <w:rPr>
          <w:rFonts w:eastAsia="Microsoft JhengHei"/>
          <w:szCs w:val="24"/>
          <w:lang w:val="en-US"/>
        </w:rPr>
        <w:t xml:space="preserve"> Gerssen A. RIKILT Wageningen University and Research, Wageningen, The Netherlands. Personal communication, 2016. </w:t>
      </w:r>
    </w:p>
    <w:p w:rsidR="00080898" w:rsidRPr="005A1B7D" w:rsidRDefault="00080898" w:rsidP="005A1B7D">
      <w:pPr>
        <w:ind w:left="357"/>
        <w:rPr>
          <w:rFonts w:eastAsia="Microsoft JhengHei"/>
          <w:szCs w:val="24"/>
          <w:lang w:val="en-US"/>
        </w:rPr>
      </w:pPr>
    </w:p>
    <w:p w:rsidR="00080898" w:rsidRPr="009171AB" w:rsidRDefault="00080898" w:rsidP="00080898">
      <w:pPr>
        <w:pStyle w:val="Paragraphedeliste"/>
        <w:numPr>
          <w:ilvl w:val="0"/>
          <w:numId w:val="12"/>
        </w:numPr>
        <w:ind w:left="828" w:hanging="471"/>
        <w:contextualSpacing w:val="0"/>
        <w:rPr>
          <w:rFonts w:eastAsia="Microsoft JhengHei"/>
          <w:szCs w:val="24"/>
          <w:lang w:val="en-US"/>
        </w:rPr>
      </w:pPr>
      <w:r w:rsidRPr="0037192F">
        <w:rPr>
          <w:color w:val="70AD47" w:themeColor="accent6"/>
          <w:szCs w:val="24"/>
          <w:lang w:val="es-ES"/>
        </w:rPr>
        <w:t xml:space="preserve"> </w:t>
      </w:r>
      <w:r w:rsidRPr="0037192F">
        <w:rPr>
          <w:szCs w:val="24"/>
          <w:lang w:val="es-ES"/>
        </w:rPr>
        <w:t xml:space="preserve">Fernandez-Ortega, JF., Morales-de los Santos, JM., Herrera-Gutiérrez, ME., Fernadez-Sanchez, V., Rodriguez Lourea, P., Rancano, AA. </w:t>
      </w:r>
      <w:r w:rsidRPr="005A1B7D">
        <w:rPr>
          <w:szCs w:val="24"/>
        </w:rPr>
        <w:t xml:space="preserve">And Tellez-Andrade A., 2010. </w:t>
      </w:r>
      <w:r w:rsidRPr="009171AB">
        <w:rPr>
          <w:szCs w:val="24"/>
          <w:lang w:val="en-US"/>
        </w:rPr>
        <w:t xml:space="preserve">Seafood intoxication by tetrodotoxin : first case in Europe [online]. Avalaible on : </w:t>
      </w:r>
      <w:hyperlink r:id="rId14" w:history="1">
        <w:r w:rsidRPr="009171AB">
          <w:rPr>
            <w:rStyle w:val="Lienhypertexte"/>
            <w:szCs w:val="24"/>
            <w:lang w:val="en-US"/>
          </w:rPr>
          <w:t>https://www.ncbi.nlm.nih.gov/pubmed/19201132</w:t>
        </w:r>
      </w:hyperlink>
      <w:r w:rsidRPr="009171AB">
        <w:rPr>
          <w:szCs w:val="24"/>
          <w:lang w:val="en-US"/>
        </w:rPr>
        <w:t xml:space="preserve">. Viewed on 27/02/2018. </w:t>
      </w:r>
    </w:p>
    <w:p w:rsidR="00080898" w:rsidRDefault="00080898" w:rsidP="00080898">
      <w:pPr>
        <w:pStyle w:val="Paragraphedeliste"/>
        <w:numPr>
          <w:ilvl w:val="0"/>
          <w:numId w:val="12"/>
        </w:numPr>
        <w:ind w:left="828" w:hanging="471"/>
        <w:contextualSpacing w:val="0"/>
        <w:rPr>
          <w:rFonts w:eastAsia="Microsoft JhengHei"/>
          <w:szCs w:val="24"/>
          <w:lang w:val="en-US"/>
        </w:rPr>
      </w:pPr>
      <w:r w:rsidRPr="009171AB">
        <w:rPr>
          <w:szCs w:val="24"/>
          <w:lang w:val="en-US"/>
        </w:rPr>
        <w:t xml:space="preserve">European Commission, 2016. Policy Guideline on tetrodotoxin in live bivalve molluscs [online]. Available on : </w:t>
      </w:r>
      <w:hyperlink r:id="rId15" w:history="1">
        <w:r w:rsidRPr="009171AB">
          <w:rPr>
            <w:rStyle w:val="Lienhypertexte"/>
            <w:rFonts w:eastAsia="Microsoft JhengHei"/>
            <w:szCs w:val="24"/>
            <w:lang w:val="en-US"/>
          </w:rPr>
          <w:t>http://ec.europa.eu/growth/tools-databases/tris/en/search/?trisaction=search.detail&amp;year=2016&amp;num=175</w:t>
        </w:r>
      </w:hyperlink>
      <w:r w:rsidRPr="009171AB">
        <w:rPr>
          <w:rFonts w:eastAsia="Microsoft JhengHei"/>
          <w:szCs w:val="24"/>
          <w:lang w:val="en-US"/>
        </w:rPr>
        <w:t xml:space="preserve">. </w:t>
      </w:r>
      <w:r w:rsidRPr="000C658C">
        <w:rPr>
          <w:rFonts w:eastAsia="Microsoft JhengHei"/>
          <w:szCs w:val="24"/>
          <w:lang w:val="en-US"/>
        </w:rPr>
        <w:t>Viewed on 12/05/2016.</w:t>
      </w:r>
    </w:p>
    <w:p w:rsidR="00080898" w:rsidRPr="00080898" w:rsidRDefault="00080898" w:rsidP="00080898">
      <w:pPr>
        <w:pStyle w:val="Paragraphedeliste"/>
        <w:numPr>
          <w:ilvl w:val="0"/>
          <w:numId w:val="12"/>
        </w:numPr>
        <w:ind w:left="828" w:hanging="471"/>
        <w:contextualSpacing w:val="0"/>
        <w:rPr>
          <w:rFonts w:eastAsia="Microsoft JhengHei"/>
          <w:szCs w:val="24"/>
          <w:lang w:val="en-US"/>
        </w:rPr>
      </w:pPr>
      <w:r>
        <w:rPr>
          <w:bCs/>
          <w:szCs w:val="24"/>
          <w:lang w:val="en-US"/>
        </w:rPr>
        <w:t xml:space="preserve">Gerssen A., </w:t>
      </w:r>
      <w:r w:rsidRPr="00343C96">
        <w:rPr>
          <w:bCs/>
          <w:szCs w:val="24"/>
          <w:lang w:val="en-US"/>
        </w:rPr>
        <w:t>Institute of Food Safety of Wageningen University (RIKILT</w:t>
      </w:r>
      <w:r>
        <w:rPr>
          <w:bCs/>
          <w:szCs w:val="24"/>
          <w:lang w:val="en-US"/>
        </w:rPr>
        <w:t>), Wageningen, The Netherlands</w:t>
      </w:r>
      <w:r w:rsidRPr="00343C96">
        <w:rPr>
          <w:bCs/>
          <w:szCs w:val="24"/>
          <w:lang w:val="en-US"/>
        </w:rPr>
        <w:t>. Personal communication. 2017.</w:t>
      </w:r>
      <w:r>
        <w:rPr>
          <w:bCs/>
          <w:szCs w:val="24"/>
          <w:lang w:val="en-US"/>
        </w:rPr>
        <w:t xml:space="preserve"> For the publication : Turner A.D., Dhanji-Rapkova M., Coates L., Bickerstaff L., Milligan S., O’Neil A., Faulkner D., McEneny H., Baker-Austin C., Lees D.N. and Algoet M., 2017. Detection of Tetrodotoxin Shellfish Poisoning (TSP) Toxins and Causative Factors in Bivalve Molluscs from the UK. </w:t>
      </w:r>
    </w:p>
    <w:p w:rsidR="00080898" w:rsidRPr="0037192F" w:rsidRDefault="00080898" w:rsidP="00080898">
      <w:pPr>
        <w:pStyle w:val="Paragraphedeliste"/>
        <w:numPr>
          <w:ilvl w:val="0"/>
          <w:numId w:val="12"/>
        </w:numPr>
        <w:ind w:left="828" w:hanging="471"/>
        <w:contextualSpacing w:val="0"/>
        <w:rPr>
          <w:rStyle w:val="Lienhypertexte"/>
          <w:rFonts w:eastAsia="Microsoft JhengHei"/>
          <w:color w:val="auto"/>
          <w:szCs w:val="24"/>
          <w:u w:val="none"/>
        </w:rPr>
      </w:pPr>
      <w:r w:rsidRPr="00080898">
        <w:rPr>
          <w:szCs w:val="24"/>
          <w:lang w:val="en-US"/>
        </w:rPr>
        <w:t xml:space="preserve">European Commission, Directorate-General for Health and Food Safety, 2016. Request for a scientific opinion on the evaluation of the toxicity of Tetrodotoxins (TTX) and TTX-analogues in bivalve molluscs and marine gastropods. </w:t>
      </w:r>
      <w:r w:rsidRPr="00080898">
        <w:rPr>
          <w:szCs w:val="24"/>
        </w:rPr>
        <w:t>Available on (mandat</w:t>
      </w:r>
      <w:r w:rsidRPr="00080898">
        <w:rPr>
          <w:szCs w:val="24"/>
        </w:rPr>
        <w:br/>
        <w:t>M-2016-0134</w:t>
      </w:r>
      <w:r w:rsidRPr="00080898">
        <w:rPr>
          <w:rFonts w:eastAsia="Microsoft JhengHei"/>
          <w:szCs w:val="24"/>
        </w:rPr>
        <w:t xml:space="preserve">) : </w:t>
      </w:r>
      <w:hyperlink r:id="rId16" w:history="1">
        <w:r w:rsidRPr="00080898">
          <w:rPr>
            <w:rStyle w:val="Lienhypertexte"/>
            <w:rFonts w:eastAsia="Microsoft JhengHei"/>
            <w:szCs w:val="24"/>
          </w:rPr>
          <w:t>http://registerofquestions.efsa.europa.eu/roqFrontend/wicket/page?3</w:t>
        </w:r>
      </w:hyperlink>
    </w:p>
    <w:p w:rsidR="00080898" w:rsidRPr="003A7549" w:rsidRDefault="00080898" w:rsidP="00080898">
      <w:pPr>
        <w:pStyle w:val="Paragraphedeliste"/>
        <w:numPr>
          <w:ilvl w:val="0"/>
          <w:numId w:val="12"/>
        </w:numPr>
        <w:ind w:left="771" w:hanging="414"/>
        <w:contextualSpacing w:val="0"/>
        <w:rPr>
          <w:rStyle w:val="Lienhypertexte"/>
          <w:rFonts w:eastAsia="Microsoft JhengHei"/>
          <w:szCs w:val="24"/>
        </w:rPr>
      </w:pPr>
      <w:r w:rsidRPr="0037192F">
        <w:rPr>
          <w:szCs w:val="24"/>
        </w:rPr>
        <w:t xml:space="preserve"> </w:t>
      </w:r>
      <w:r w:rsidRPr="0037192F">
        <w:rPr>
          <w:lang w:val="en-US"/>
        </w:rPr>
        <w:t xml:space="preserve">EFSA Panel con Contaminants in the Food Chain (CONTAM), 2017. Risks for public health related to the presence of tetrodotoxin (TTX) and TTX analogues in marine bivalves and gastropods. </w:t>
      </w:r>
      <w:r w:rsidRPr="0037192F">
        <w:t xml:space="preserve">EFSA Journal. Available on : </w:t>
      </w:r>
      <w:hyperlink r:id="rId17" w:history="1">
        <w:r w:rsidRPr="003A7549">
          <w:rPr>
            <w:rStyle w:val="Lienhypertexte"/>
            <w:rFonts w:eastAsia="Microsoft JhengHei"/>
            <w:szCs w:val="24"/>
          </w:rPr>
          <w:t>http://onlinelibrary.wiley.com/doi/10.2903/j.efsa.2017.4752/abstract</w:t>
        </w:r>
      </w:hyperlink>
      <w:r w:rsidRPr="003A7549">
        <w:rPr>
          <w:rStyle w:val="Lienhypertexte"/>
          <w:rFonts w:eastAsia="Microsoft JhengHei"/>
          <w:szCs w:val="24"/>
        </w:rPr>
        <w:t xml:space="preserve"> </w:t>
      </w:r>
    </w:p>
    <w:p w:rsidR="00080898" w:rsidRPr="003A7549" w:rsidRDefault="00080898" w:rsidP="00080898">
      <w:pPr>
        <w:pStyle w:val="Paragraphedeliste"/>
        <w:numPr>
          <w:ilvl w:val="0"/>
          <w:numId w:val="12"/>
        </w:numPr>
        <w:ind w:left="771" w:hanging="414"/>
        <w:contextualSpacing w:val="0"/>
        <w:rPr>
          <w:rStyle w:val="Lienhypertexte"/>
          <w:rFonts w:eastAsia="Microsoft JhengHei"/>
          <w:szCs w:val="24"/>
        </w:rPr>
      </w:pPr>
      <w:r>
        <w:rPr>
          <w:color w:val="70AD47" w:themeColor="accent6"/>
          <w:szCs w:val="24"/>
        </w:rPr>
        <w:t xml:space="preserve"> </w:t>
      </w:r>
      <w:r w:rsidRPr="003A7549">
        <w:rPr>
          <w:szCs w:val="24"/>
          <w:lang w:val="en-US"/>
        </w:rPr>
        <w:t xml:space="preserve">Kasteel, E., Westerink, R., 2017. Comparison of the acute inhibitory effects of Tetrodotoxin (TTX) in rat and human neuronal networks for risk assessment purposes. Available on: </w:t>
      </w:r>
      <w:hyperlink r:id="rId18" w:history="1">
        <w:r w:rsidRPr="003A7549">
          <w:rPr>
            <w:rStyle w:val="Lienhypertexte"/>
            <w:szCs w:val="24"/>
            <w:lang w:val="en-US"/>
          </w:rPr>
          <w:t>http://www.sciencedirect.com/science/article/pii/S0378427417300620?via%3Dihub</w:t>
        </w:r>
      </w:hyperlink>
    </w:p>
    <w:p w:rsidR="00080898" w:rsidRPr="00987D2C" w:rsidRDefault="00080898" w:rsidP="00080898">
      <w:pPr>
        <w:pStyle w:val="Paragraphedeliste"/>
        <w:numPr>
          <w:ilvl w:val="0"/>
          <w:numId w:val="12"/>
        </w:numPr>
        <w:ind w:left="771" w:hanging="414"/>
        <w:contextualSpacing w:val="0"/>
        <w:rPr>
          <w:rFonts w:eastAsia="Microsoft JhengHei"/>
          <w:szCs w:val="24"/>
          <w:lang w:val="en-US"/>
        </w:rPr>
      </w:pPr>
      <w:r>
        <w:rPr>
          <w:rFonts w:cs="Verdana"/>
          <w:color w:val="000000"/>
          <w:szCs w:val="24"/>
          <w:lang w:val="en-US"/>
        </w:rPr>
        <w:t xml:space="preserve"> </w:t>
      </w:r>
      <w:r w:rsidRPr="003A7549">
        <w:rPr>
          <w:rFonts w:cs="Verdana"/>
          <w:color w:val="000000"/>
          <w:szCs w:val="24"/>
          <w:lang w:val="en-US"/>
        </w:rPr>
        <w:t xml:space="preserve">Meeting of the 02/05/2017 with Dutch and Belgium experts on the </w:t>
      </w:r>
      <w:r w:rsidRPr="003A7549">
        <w:rPr>
          <w:rFonts w:cs="Times New Roman"/>
          <w:bCs/>
          <w:color w:val="000000"/>
          <w:szCs w:val="24"/>
          <w:lang w:val="en-US"/>
        </w:rPr>
        <w:t>possible safety levels for risk assessment TTX where the EFSA opinion and Kasteel and Westerink paper were discussed.</w:t>
      </w:r>
      <w:r w:rsidRPr="003A7549">
        <w:rPr>
          <w:rFonts w:cs="Verdana"/>
          <w:color w:val="000000"/>
          <w:szCs w:val="24"/>
          <w:lang w:val="en-US"/>
        </w:rPr>
        <w:t xml:space="preserve"> Report’s going to press.</w:t>
      </w:r>
    </w:p>
    <w:p w:rsidR="00080898" w:rsidRPr="00987D2C" w:rsidRDefault="00080898" w:rsidP="00080898">
      <w:pPr>
        <w:pStyle w:val="Paragraphedeliste"/>
        <w:numPr>
          <w:ilvl w:val="0"/>
          <w:numId w:val="12"/>
        </w:numPr>
        <w:ind w:left="771" w:hanging="414"/>
        <w:contextualSpacing w:val="0"/>
        <w:rPr>
          <w:rFonts w:eastAsia="Microsoft JhengHei"/>
          <w:szCs w:val="24"/>
          <w:lang w:val="en-US"/>
        </w:rPr>
      </w:pPr>
      <w:r>
        <w:rPr>
          <w:rFonts w:cs="Verdana"/>
          <w:color w:val="000000"/>
          <w:szCs w:val="24"/>
          <w:lang w:val="en-US"/>
        </w:rPr>
        <w:t xml:space="preserve"> </w:t>
      </w:r>
      <w:r w:rsidRPr="00987D2C">
        <w:rPr>
          <w:rFonts w:cs="Verdana"/>
          <w:color w:val="000000"/>
          <w:szCs w:val="24"/>
          <w:lang w:val="en-US"/>
        </w:rPr>
        <w:t xml:space="preserve">Regulation (EC) No 882/2004 of the European Parliament and of the Council of 29 April 2004 on official controls performed to ensure the verification of compliance with feed and food law, animal health and animal welfare rules, Article 32, Paragraph 1, Point a. Available on : </w:t>
      </w:r>
      <w:hyperlink r:id="rId19" w:history="1">
        <w:r w:rsidRPr="00987D2C">
          <w:rPr>
            <w:rStyle w:val="Lienhypertexte"/>
            <w:rFonts w:cs="Verdana"/>
            <w:szCs w:val="24"/>
            <w:lang w:val="en-US"/>
          </w:rPr>
          <w:t>http://eur-lex.europa.eu/legal-content/EN/TXT/?uri=CELEX:32004R0882</w:t>
        </w:r>
      </w:hyperlink>
      <w:r w:rsidRPr="00987D2C">
        <w:rPr>
          <w:rFonts w:cs="Verdana"/>
          <w:color w:val="000000"/>
          <w:szCs w:val="24"/>
          <w:lang w:val="en-US"/>
        </w:rPr>
        <w:t>. Viewed on 03/05/2018.</w:t>
      </w:r>
    </w:p>
    <w:p w:rsidR="00080898" w:rsidRPr="005E77F8" w:rsidRDefault="00080898" w:rsidP="00080898">
      <w:pPr>
        <w:pStyle w:val="Paragraphedeliste"/>
        <w:numPr>
          <w:ilvl w:val="0"/>
          <w:numId w:val="12"/>
        </w:numPr>
        <w:ind w:left="771" w:hanging="414"/>
        <w:contextualSpacing w:val="0"/>
        <w:rPr>
          <w:rFonts w:eastAsia="Microsoft JhengHei"/>
          <w:szCs w:val="24"/>
          <w:lang w:val="en-US"/>
        </w:rPr>
      </w:pPr>
      <w:r>
        <w:rPr>
          <w:rFonts w:eastAsia="Microsoft JhengHei"/>
          <w:color w:val="70AD47" w:themeColor="accent6"/>
          <w:szCs w:val="24"/>
          <w:lang w:val="en-US"/>
        </w:rPr>
        <w:t xml:space="preserve"> </w:t>
      </w:r>
      <w:r>
        <w:rPr>
          <w:rFonts w:eastAsia="Microsoft JhengHei"/>
          <w:szCs w:val="24"/>
          <w:lang w:val="en-US"/>
        </w:rPr>
        <w:t xml:space="preserve">Working Group 2 (Shellfish) AAC meeting of the 28/02/2017, Talk about TTX issues, Paolo Caricato, European Commission, DG SANCO </w:t>
      </w:r>
    </w:p>
    <w:p w:rsidR="00080898" w:rsidRPr="00BE3531" w:rsidRDefault="00080898" w:rsidP="00080898">
      <w:pPr>
        <w:pStyle w:val="Paragraphedeliste"/>
        <w:numPr>
          <w:ilvl w:val="0"/>
          <w:numId w:val="12"/>
        </w:numPr>
        <w:ind w:left="771" w:hanging="414"/>
        <w:contextualSpacing w:val="0"/>
        <w:rPr>
          <w:rFonts w:eastAsia="Microsoft JhengHei"/>
          <w:szCs w:val="24"/>
          <w:lang w:val="en-US"/>
        </w:rPr>
      </w:pPr>
      <w:r w:rsidRPr="00827579">
        <w:rPr>
          <w:bCs/>
          <w:szCs w:val="24"/>
          <w:lang w:val="en-US"/>
        </w:rPr>
        <w:t xml:space="preserve"> </w:t>
      </w:r>
      <w:r w:rsidRPr="008A68AC">
        <w:rPr>
          <w:bCs/>
          <w:szCs w:val="24"/>
          <w:lang w:val="en-US"/>
        </w:rPr>
        <w:t xml:space="preserve">Aan de Inspecteur-Generaal van de Nederlandse Voedsel- en Warenautoriteit Van de directeur bureau Risicobeoordeling &amp; onderzoeksprogrammering, 2017. </w:t>
      </w:r>
      <w:r w:rsidRPr="003A7549">
        <w:rPr>
          <w:bCs/>
          <w:szCs w:val="24"/>
          <w:lang w:val="en-US"/>
        </w:rPr>
        <w:t xml:space="preserve">Advies over de gezondheidskundige waarde van TTX in oesters en mosselen. </w:t>
      </w:r>
    </w:p>
    <w:p w:rsidR="00080898" w:rsidRDefault="00080898" w:rsidP="00080898">
      <w:pPr>
        <w:pStyle w:val="Paragraphedeliste"/>
        <w:numPr>
          <w:ilvl w:val="0"/>
          <w:numId w:val="12"/>
        </w:numPr>
        <w:ind w:left="771" w:hanging="414"/>
        <w:contextualSpacing w:val="0"/>
        <w:rPr>
          <w:rFonts w:eastAsia="Microsoft JhengHei"/>
          <w:szCs w:val="24"/>
          <w:lang w:val="en-US"/>
        </w:rPr>
      </w:pPr>
      <w:r w:rsidRPr="00080898">
        <w:rPr>
          <w:rFonts w:eastAsia="Microsoft JhengHei"/>
          <w:color w:val="70AD47" w:themeColor="accent6"/>
          <w:szCs w:val="24"/>
          <w:lang w:val="en-US"/>
        </w:rPr>
        <w:t xml:space="preserve"> </w:t>
      </w:r>
      <w:r w:rsidRPr="001F1714">
        <w:rPr>
          <w:rFonts w:eastAsia="Microsoft JhengHei"/>
          <w:szCs w:val="24"/>
        </w:rPr>
        <w:t xml:space="preserve">Chau R., Kalaitzis J.A., Neilan B.A., </w:t>
      </w:r>
      <w:r>
        <w:rPr>
          <w:rFonts w:eastAsia="Microsoft JhengHei"/>
          <w:szCs w:val="24"/>
        </w:rPr>
        <w:t xml:space="preserve">2011. </w:t>
      </w:r>
      <w:r w:rsidRPr="001F1714">
        <w:rPr>
          <w:rFonts w:eastAsia="Microsoft JhengHei"/>
          <w:szCs w:val="24"/>
          <w:lang w:val="en-US"/>
        </w:rPr>
        <w:t xml:space="preserve">On the origin and biosynthesis of tetrodoxin. </w:t>
      </w:r>
      <w:r>
        <w:rPr>
          <w:rFonts w:eastAsia="Microsoft JhengHei"/>
          <w:szCs w:val="24"/>
          <w:lang w:val="en-US"/>
        </w:rPr>
        <w:t>Aquat. Toxicol. 2011, 104, 61-72.</w:t>
      </w:r>
    </w:p>
    <w:p w:rsidR="00080898" w:rsidRDefault="00080898" w:rsidP="00080898">
      <w:pPr>
        <w:pStyle w:val="Paragraphedeliste"/>
        <w:numPr>
          <w:ilvl w:val="0"/>
          <w:numId w:val="12"/>
        </w:numPr>
        <w:ind w:left="771" w:hanging="414"/>
        <w:contextualSpacing w:val="0"/>
        <w:rPr>
          <w:rFonts w:eastAsia="Microsoft JhengHei"/>
          <w:szCs w:val="24"/>
          <w:lang w:val="en-US"/>
        </w:rPr>
      </w:pPr>
      <w:r w:rsidRPr="005E77F8">
        <w:rPr>
          <w:rFonts w:eastAsia="Microsoft JhengHei"/>
          <w:color w:val="70AD47" w:themeColor="accent6"/>
          <w:szCs w:val="24"/>
          <w:lang w:val="en-US"/>
        </w:rPr>
        <w:t xml:space="preserve"> </w:t>
      </w:r>
      <w:r>
        <w:rPr>
          <w:rFonts w:eastAsia="Microsoft JhengHei"/>
          <w:szCs w:val="24"/>
          <w:lang w:val="en-US"/>
        </w:rPr>
        <w:t>Kotaki Y., Shimizu Y., 1993. 1-Hydroxy-55, 11-dideoxytetrodotoxin, the first N-hydroxy and ring-deoxy derivative of tetrodotoxin found in the newt Taricha granulose. J. Am. Chem. Soc. 1993, 115, 827-830.</w:t>
      </w:r>
    </w:p>
    <w:p w:rsidR="00DC6131" w:rsidRDefault="00080898" w:rsidP="00080898">
      <w:pPr>
        <w:pStyle w:val="Paragraphedeliste"/>
        <w:numPr>
          <w:ilvl w:val="0"/>
          <w:numId w:val="12"/>
        </w:numPr>
        <w:ind w:left="771" w:hanging="414"/>
        <w:contextualSpacing w:val="0"/>
        <w:rPr>
          <w:rFonts w:eastAsia="Microsoft JhengHei"/>
          <w:szCs w:val="24"/>
          <w:lang w:val="en-US"/>
        </w:rPr>
      </w:pPr>
      <w:r w:rsidRPr="00987D2C">
        <w:rPr>
          <w:rFonts w:eastAsia="Microsoft JhengHei"/>
          <w:color w:val="70AD47" w:themeColor="accent6"/>
          <w:szCs w:val="24"/>
          <w:lang w:val="en-US"/>
        </w:rPr>
        <w:t xml:space="preserve"> </w:t>
      </w:r>
      <w:r>
        <w:rPr>
          <w:rFonts w:eastAsia="Microsoft JhengHei"/>
          <w:szCs w:val="24"/>
          <w:lang w:val="en-US"/>
        </w:rPr>
        <w:t>Turner A.D., Dhanji-Rapkova M., Coates L., Bickerstaff L., Milligam S., O’Neill A., Faulkner D., McEneny H., Baker-Austin C., Lees D.N. and al, 2017. Detection of Tetrodotoxin Shellfish Poisoning (TSP) Toxins and Causative Factors in Bivalve Molluscs from the UK. Mar. Drugs 2017, 15, 277.</w:t>
      </w:r>
    </w:p>
    <w:sectPr w:rsidR="00DC6131" w:rsidSect="00A548D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73F" w:rsidRDefault="000A373F" w:rsidP="00524FF3">
      <w:pPr>
        <w:spacing w:after="0" w:line="240" w:lineRule="auto"/>
      </w:pPr>
      <w:r>
        <w:separator/>
      </w:r>
    </w:p>
  </w:endnote>
  <w:endnote w:type="continuationSeparator" w:id="0">
    <w:p w:rsidR="000A373F" w:rsidRDefault="000A373F" w:rsidP="00524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Eras Bold ITC">
    <w:altName w:val="Calibri"/>
    <w:panose1 w:val="020B0907030504020204"/>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482445"/>
      <w:docPartObj>
        <w:docPartGallery w:val="Page Numbers (Bottom of Page)"/>
        <w:docPartUnique/>
      </w:docPartObj>
    </w:sdtPr>
    <w:sdtEndPr/>
    <w:sdtContent>
      <w:p w:rsidR="00A548D6" w:rsidRDefault="00A548D6">
        <w:pPr>
          <w:pStyle w:val="Pieddepage"/>
          <w:jc w:val="right"/>
        </w:pPr>
        <w:r>
          <w:fldChar w:fldCharType="begin"/>
        </w:r>
        <w:r>
          <w:instrText>PAGE   \* MERGEFORMAT</w:instrText>
        </w:r>
        <w:r>
          <w:fldChar w:fldCharType="separate"/>
        </w:r>
        <w:r w:rsidR="003C59EC">
          <w:rPr>
            <w:noProof/>
          </w:rPr>
          <w:t>6</w:t>
        </w:r>
        <w:r>
          <w:fldChar w:fldCharType="end"/>
        </w:r>
      </w:p>
    </w:sdtContent>
  </w:sdt>
  <w:p w:rsidR="00A9732F" w:rsidRDefault="00A9732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73F" w:rsidRDefault="000A373F" w:rsidP="00524FF3">
      <w:pPr>
        <w:spacing w:after="0" w:line="240" w:lineRule="auto"/>
      </w:pPr>
      <w:r>
        <w:separator/>
      </w:r>
    </w:p>
  </w:footnote>
  <w:footnote w:type="continuationSeparator" w:id="0">
    <w:p w:rsidR="000A373F" w:rsidRDefault="000A373F" w:rsidP="00524F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1275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3691"/>
      <w:gridCol w:w="6090"/>
    </w:tblGrid>
    <w:tr w:rsidR="006E5CB7" w:rsidTr="006E5CB7">
      <w:tc>
        <w:tcPr>
          <w:tcW w:w="2972" w:type="dxa"/>
          <w:vAlign w:val="center"/>
        </w:tcPr>
        <w:p w:rsidR="006E5CB7" w:rsidRDefault="006E5CB7" w:rsidP="006E5CB7">
          <w:pPr>
            <w:pStyle w:val="En-tte"/>
          </w:pPr>
          <w:r>
            <w:rPr>
              <w:noProof/>
              <w:lang w:eastAsia="fr-FR"/>
            </w:rPr>
            <w:drawing>
              <wp:inline distT="0" distB="0" distL="0" distR="0" wp14:anchorId="641D7033" wp14:editId="586639C1">
                <wp:extent cx="1801372" cy="1304547"/>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inal logo of AAC 300 ppp 5x3 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1372" cy="1304547"/>
                        </a:xfrm>
                        <a:prstGeom prst="rect">
                          <a:avLst/>
                        </a:prstGeom>
                      </pic:spPr>
                    </pic:pic>
                  </a:graphicData>
                </a:graphic>
              </wp:inline>
            </w:drawing>
          </w:r>
        </w:p>
      </w:tc>
      <w:tc>
        <w:tcPr>
          <w:tcW w:w="3691" w:type="dxa"/>
          <w:vAlign w:val="center"/>
        </w:tcPr>
        <w:p w:rsidR="006E5CB7" w:rsidRPr="006E5CB7" w:rsidRDefault="006E5CB7" w:rsidP="006E5CB7">
          <w:pPr>
            <w:pStyle w:val="En-tte"/>
            <w:ind w:right="176"/>
            <w:jc w:val="center"/>
            <w:rPr>
              <w:rFonts w:ascii="Eras Bold ITC" w:hAnsi="Eras Bold ITC"/>
              <w:color w:val="278489"/>
              <w:sz w:val="72"/>
              <w:szCs w:val="72"/>
            </w:rPr>
          </w:pPr>
          <w:r w:rsidRPr="006E5CB7">
            <w:rPr>
              <w:rFonts w:ascii="Eras Bold ITC" w:hAnsi="Eras Bold ITC"/>
              <w:color w:val="278489"/>
              <w:sz w:val="72"/>
              <w:szCs w:val="72"/>
            </w:rPr>
            <w:t>JOINT</w:t>
          </w:r>
          <w:r w:rsidRPr="006E5CB7">
            <w:rPr>
              <w:rFonts w:ascii="Eras Bold ITC" w:hAnsi="Eras Bold ITC"/>
              <w:color w:val="278489"/>
              <w:sz w:val="72"/>
              <w:szCs w:val="72"/>
            </w:rPr>
            <w:br/>
            <w:t>ADVICE</w:t>
          </w:r>
        </w:p>
      </w:tc>
      <w:tc>
        <w:tcPr>
          <w:tcW w:w="6090" w:type="dxa"/>
          <w:vAlign w:val="center"/>
        </w:tcPr>
        <w:p w:rsidR="006E5CB7" w:rsidRPr="00FB56E3" w:rsidRDefault="006E5CB7" w:rsidP="006E5CB7">
          <w:pPr>
            <w:pStyle w:val="En-tte"/>
            <w:rPr>
              <w:rFonts w:ascii="Eras Bold ITC" w:hAnsi="Eras Bold ITC"/>
              <w:color w:val="278489"/>
              <w:sz w:val="144"/>
              <w:szCs w:val="144"/>
            </w:rPr>
          </w:pPr>
          <w:r>
            <w:rPr>
              <w:rFonts w:ascii="Eras Bold ITC" w:hAnsi="Eras Bold ITC"/>
              <w:noProof/>
              <w:color w:val="278489"/>
              <w:sz w:val="144"/>
              <w:szCs w:val="144"/>
              <w:lang w:eastAsia="fr-FR"/>
            </w:rPr>
            <w:drawing>
              <wp:inline distT="0" distB="0" distL="0" distR="0" wp14:anchorId="64C28A29" wp14:editId="163B3A10">
                <wp:extent cx="1678193" cy="1085655"/>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 logo.jpg"/>
                        <pic:cNvPicPr/>
                      </pic:nvPicPr>
                      <pic:blipFill>
                        <a:blip r:embed="rId2">
                          <a:extLst>
                            <a:ext uri="{28A0092B-C50C-407E-A947-70E740481C1C}">
                              <a14:useLocalDpi xmlns:a14="http://schemas.microsoft.com/office/drawing/2010/main" val="0"/>
                            </a:ext>
                          </a:extLst>
                        </a:blip>
                        <a:stretch>
                          <a:fillRect/>
                        </a:stretch>
                      </pic:blipFill>
                      <pic:spPr>
                        <a:xfrm>
                          <a:off x="0" y="0"/>
                          <a:ext cx="1748069" cy="1130859"/>
                        </a:xfrm>
                        <a:prstGeom prst="rect">
                          <a:avLst/>
                        </a:prstGeom>
                      </pic:spPr>
                    </pic:pic>
                  </a:graphicData>
                </a:graphic>
              </wp:inline>
            </w:drawing>
          </w:r>
        </w:p>
      </w:tc>
    </w:tr>
  </w:tbl>
  <w:p w:rsidR="00524FF3" w:rsidRDefault="00524FF3" w:rsidP="00A548D6">
    <w:pPr>
      <w:pStyle w:val="En-tte"/>
      <w:tabs>
        <w:tab w:val="clear" w:pos="4536"/>
        <w:tab w:val="clear" w:pos="9072"/>
        <w:tab w:val="left" w:pos="357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8D6" w:rsidRDefault="00A548D6" w:rsidP="00A548D6">
    <w:pPr>
      <w:pStyle w:val="En-tte"/>
      <w:spacing w:after="240"/>
      <w:jc w:val="center"/>
      <w:rPr>
        <w:rFonts w:ascii="Eras Bold ITC" w:hAnsi="Eras Bold ITC"/>
        <w:color w:val="278489"/>
        <w:sz w:val="72"/>
        <w:szCs w:val="72"/>
      </w:rPr>
    </w:pPr>
    <w:r>
      <w:rPr>
        <w:noProof/>
        <w:lang w:eastAsia="fr-FR"/>
      </w:rPr>
      <w:drawing>
        <wp:anchor distT="0" distB="0" distL="114300" distR="114300" simplePos="0" relativeHeight="251658240" behindDoc="0" locked="0" layoutInCell="1" allowOverlap="1">
          <wp:simplePos x="0" y="0"/>
          <wp:positionH relativeFrom="margin">
            <wp:align>left</wp:align>
          </wp:positionH>
          <wp:positionV relativeFrom="paragraph">
            <wp:posOffset>-1791</wp:posOffset>
          </wp:positionV>
          <wp:extent cx="1800860" cy="1304290"/>
          <wp:effectExtent l="0" t="0" r="889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inal logo of AAC 300 ppp 5x3 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1372" cy="1304547"/>
                  </a:xfrm>
                  <a:prstGeom prst="rect">
                    <a:avLst/>
                  </a:prstGeom>
                </pic:spPr>
              </pic:pic>
            </a:graphicData>
          </a:graphic>
        </wp:anchor>
      </w:drawing>
    </w:r>
    <w:r>
      <w:rPr>
        <w:rFonts w:ascii="Eras Bold ITC" w:hAnsi="Eras Bold ITC"/>
        <w:noProof/>
        <w:color w:val="278489"/>
        <w:sz w:val="144"/>
        <w:szCs w:val="144"/>
        <w:lang w:eastAsia="fr-FR"/>
      </w:rPr>
      <w:drawing>
        <wp:anchor distT="0" distB="0" distL="114300" distR="114300" simplePos="0" relativeHeight="251659264" behindDoc="0" locked="0" layoutInCell="1" allowOverlap="1">
          <wp:simplePos x="0" y="0"/>
          <wp:positionH relativeFrom="margin">
            <wp:align>right</wp:align>
          </wp:positionH>
          <wp:positionV relativeFrom="paragraph">
            <wp:posOffset>112395</wp:posOffset>
          </wp:positionV>
          <wp:extent cx="1677670" cy="1085215"/>
          <wp:effectExtent l="0" t="0" r="0" b="63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7670" cy="1085215"/>
                  </a:xfrm>
                  <a:prstGeom prst="rect">
                    <a:avLst/>
                  </a:prstGeom>
                </pic:spPr>
              </pic:pic>
            </a:graphicData>
          </a:graphic>
        </wp:anchor>
      </w:drawing>
    </w:r>
    <w:r>
      <w:rPr>
        <w:rFonts w:ascii="Eras Bold ITC" w:hAnsi="Eras Bold ITC"/>
        <w:color w:val="278489"/>
        <w:sz w:val="72"/>
        <w:szCs w:val="72"/>
      </w:rPr>
      <w:t>JOINT</w:t>
    </w:r>
    <w:r>
      <w:rPr>
        <w:rFonts w:ascii="Eras Bold ITC" w:hAnsi="Eras Bold ITC"/>
        <w:color w:val="278489"/>
        <w:sz w:val="72"/>
        <w:szCs w:val="72"/>
      </w:rPr>
      <w:br/>
      <w:t>ADVICE</w:t>
    </w:r>
  </w:p>
  <w:p w:rsidR="00A548D6" w:rsidRPr="00A548D6" w:rsidRDefault="00A548D6" w:rsidP="00A548D6">
    <w:pPr>
      <w:pStyle w:val="En-tte"/>
      <w:spacing w:after="240"/>
      <w:jc w:val="center"/>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61D57"/>
    <w:multiLevelType w:val="hybridMultilevel"/>
    <w:tmpl w:val="5610F996"/>
    <w:lvl w:ilvl="0" w:tplc="C860852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2A205F"/>
    <w:multiLevelType w:val="multilevel"/>
    <w:tmpl w:val="25A6B04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71D58F3"/>
    <w:multiLevelType w:val="hybridMultilevel"/>
    <w:tmpl w:val="2760DE62"/>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9D1E46"/>
    <w:multiLevelType w:val="hybridMultilevel"/>
    <w:tmpl w:val="C6729D94"/>
    <w:lvl w:ilvl="0" w:tplc="EF9CF19E">
      <w:start w:val="1"/>
      <w:numFmt w:val="decimal"/>
      <w:lvlText w:val="[%1]."/>
      <w:lvlJc w:val="left"/>
      <w:pPr>
        <w:ind w:left="72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B074F6"/>
    <w:multiLevelType w:val="hybridMultilevel"/>
    <w:tmpl w:val="A3F686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9E655D"/>
    <w:multiLevelType w:val="hybridMultilevel"/>
    <w:tmpl w:val="E1F291EA"/>
    <w:lvl w:ilvl="0" w:tplc="E228C06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211164"/>
    <w:multiLevelType w:val="hybridMultilevel"/>
    <w:tmpl w:val="44B89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1F1A21"/>
    <w:multiLevelType w:val="hybridMultilevel"/>
    <w:tmpl w:val="00006712"/>
    <w:lvl w:ilvl="0" w:tplc="B21A0F9C">
      <w:start w:val="1"/>
      <w:numFmt w:val="decimal"/>
      <w:lvlText w:val="%1."/>
      <w:lvlJc w:val="left"/>
      <w:pPr>
        <w:ind w:left="720" w:hanging="360"/>
      </w:pPr>
      <w:rPr>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9F5ACD"/>
    <w:multiLevelType w:val="hybridMultilevel"/>
    <w:tmpl w:val="72C2FA00"/>
    <w:lvl w:ilvl="0" w:tplc="F122704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D11EB2"/>
    <w:multiLevelType w:val="hybridMultilevel"/>
    <w:tmpl w:val="8D102D36"/>
    <w:lvl w:ilvl="0" w:tplc="BE36B466">
      <w:start w:val="11"/>
      <w:numFmt w:val="decimal"/>
      <w:lvlText w:val="[%1]."/>
      <w:lvlJc w:val="left"/>
      <w:pPr>
        <w:ind w:left="720" w:hanging="360"/>
      </w:pPr>
      <w:rPr>
        <w:rFonts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FD3271"/>
    <w:multiLevelType w:val="hybridMultilevel"/>
    <w:tmpl w:val="C6729D94"/>
    <w:lvl w:ilvl="0" w:tplc="EF9CF19E">
      <w:start w:val="1"/>
      <w:numFmt w:val="decimal"/>
      <w:lvlText w:val="[%1]."/>
      <w:lvlJc w:val="left"/>
      <w:pPr>
        <w:ind w:left="720" w:hanging="360"/>
      </w:pPr>
      <w:rPr>
        <w:rFonts w:hint="default"/>
        <w:lang w:val="fr-FR"/>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061E19"/>
    <w:multiLevelType w:val="hybridMultilevel"/>
    <w:tmpl w:val="E08AB180"/>
    <w:lvl w:ilvl="0" w:tplc="E228C06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15020F"/>
    <w:multiLevelType w:val="hybridMultilevel"/>
    <w:tmpl w:val="C6729D94"/>
    <w:lvl w:ilvl="0" w:tplc="EF9CF19E">
      <w:start w:val="1"/>
      <w:numFmt w:val="decimal"/>
      <w:lvlText w:val="[%1]."/>
      <w:lvlJc w:val="left"/>
      <w:pPr>
        <w:ind w:left="720" w:hanging="360"/>
      </w:pPr>
      <w:rPr>
        <w:rFonts w:hint="default"/>
        <w:lang w:val="fr-FR"/>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A16967"/>
    <w:multiLevelType w:val="hybridMultilevel"/>
    <w:tmpl w:val="C8421678"/>
    <w:lvl w:ilvl="0" w:tplc="F122704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89231B"/>
    <w:multiLevelType w:val="hybridMultilevel"/>
    <w:tmpl w:val="92485B3C"/>
    <w:lvl w:ilvl="0" w:tplc="E228C06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A46311"/>
    <w:multiLevelType w:val="hybridMultilevel"/>
    <w:tmpl w:val="876CD5AA"/>
    <w:lvl w:ilvl="0" w:tplc="F122704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FAD0F79"/>
    <w:multiLevelType w:val="hybridMultilevel"/>
    <w:tmpl w:val="7A407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EB1D93"/>
    <w:multiLevelType w:val="hybridMultilevel"/>
    <w:tmpl w:val="803CFCAC"/>
    <w:lvl w:ilvl="0" w:tplc="FEB6137A">
      <w:start w:val="1"/>
      <w:numFmt w:val="decimal"/>
      <w:lvlText w:val="[%1]."/>
      <w:lvlJc w:val="left"/>
      <w:pPr>
        <w:ind w:left="785" w:hanging="360"/>
      </w:pPr>
      <w:rPr>
        <w:rFonts w:hint="default"/>
        <w:b w:val="0"/>
        <w:color w:val="auto"/>
        <w:sz w:val="22"/>
        <w:lang w:val="fr-FR"/>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6"/>
  </w:num>
  <w:num w:numId="3">
    <w:abstractNumId w:val="14"/>
  </w:num>
  <w:num w:numId="4">
    <w:abstractNumId w:val="6"/>
  </w:num>
  <w:num w:numId="5">
    <w:abstractNumId w:val="7"/>
  </w:num>
  <w:num w:numId="6">
    <w:abstractNumId w:val="1"/>
  </w:num>
  <w:num w:numId="7">
    <w:abstractNumId w:val="2"/>
  </w:num>
  <w:num w:numId="8">
    <w:abstractNumId w:val="5"/>
  </w:num>
  <w:num w:numId="9">
    <w:abstractNumId w:val="11"/>
  </w:num>
  <w:num w:numId="10">
    <w:abstractNumId w:val="0"/>
  </w:num>
  <w:num w:numId="11">
    <w:abstractNumId w:val="15"/>
  </w:num>
  <w:num w:numId="12">
    <w:abstractNumId w:val="17"/>
  </w:num>
  <w:num w:numId="13">
    <w:abstractNumId w:val="8"/>
  </w:num>
  <w:num w:numId="14">
    <w:abstractNumId w:val="13"/>
  </w:num>
  <w:num w:numId="15">
    <w:abstractNumId w:val="3"/>
  </w:num>
  <w:num w:numId="16">
    <w:abstractNumId w:val="12"/>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3B"/>
    <w:rsid w:val="000038CF"/>
    <w:rsid w:val="00015B3C"/>
    <w:rsid w:val="00022BF8"/>
    <w:rsid w:val="00060CBC"/>
    <w:rsid w:val="000669CA"/>
    <w:rsid w:val="00080898"/>
    <w:rsid w:val="00083C6C"/>
    <w:rsid w:val="00093062"/>
    <w:rsid w:val="0009435D"/>
    <w:rsid w:val="000A373F"/>
    <w:rsid w:val="000B5DE5"/>
    <w:rsid w:val="000C658C"/>
    <w:rsid w:val="00121CA3"/>
    <w:rsid w:val="0014060C"/>
    <w:rsid w:val="00191C1E"/>
    <w:rsid w:val="001A5284"/>
    <w:rsid w:val="001B6B83"/>
    <w:rsid w:val="001F1714"/>
    <w:rsid w:val="00237B35"/>
    <w:rsid w:val="00241B77"/>
    <w:rsid w:val="002679E4"/>
    <w:rsid w:val="002700AF"/>
    <w:rsid w:val="0028273B"/>
    <w:rsid w:val="002B2F47"/>
    <w:rsid w:val="002B395B"/>
    <w:rsid w:val="002C0FF9"/>
    <w:rsid w:val="002F38A2"/>
    <w:rsid w:val="00313C89"/>
    <w:rsid w:val="00320379"/>
    <w:rsid w:val="00325A84"/>
    <w:rsid w:val="003478CC"/>
    <w:rsid w:val="003671DB"/>
    <w:rsid w:val="0037192F"/>
    <w:rsid w:val="00386233"/>
    <w:rsid w:val="003A7549"/>
    <w:rsid w:val="003C59EC"/>
    <w:rsid w:val="003D2099"/>
    <w:rsid w:val="003E3E1B"/>
    <w:rsid w:val="0043214F"/>
    <w:rsid w:val="00432492"/>
    <w:rsid w:val="004B7EA1"/>
    <w:rsid w:val="004C16B7"/>
    <w:rsid w:val="004C283A"/>
    <w:rsid w:val="004C5DE1"/>
    <w:rsid w:val="004E6682"/>
    <w:rsid w:val="00515031"/>
    <w:rsid w:val="00515E81"/>
    <w:rsid w:val="0052207E"/>
    <w:rsid w:val="00524FF3"/>
    <w:rsid w:val="00526A97"/>
    <w:rsid w:val="005567C9"/>
    <w:rsid w:val="00582137"/>
    <w:rsid w:val="005A1B7D"/>
    <w:rsid w:val="005A492C"/>
    <w:rsid w:val="005D2105"/>
    <w:rsid w:val="005D552A"/>
    <w:rsid w:val="005F25B8"/>
    <w:rsid w:val="00613944"/>
    <w:rsid w:val="006251E0"/>
    <w:rsid w:val="00630400"/>
    <w:rsid w:val="006511E3"/>
    <w:rsid w:val="00654082"/>
    <w:rsid w:val="00663D05"/>
    <w:rsid w:val="00675E8D"/>
    <w:rsid w:val="006A1BF8"/>
    <w:rsid w:val="006B26EE"/>
    <w:rsid w:val="006B77A8"/>
    <w:rsid w:val="006C0DCE"/>
    <w:rsid w:val="006E5CB7"/>
    <w:rsid w:val="0070675C"/>
    <w:rsid w:val="00725516"/>
    <w:rsid w:val="007275FD"/>
    <w:rsid w:val="00752239"/>
    <w:rsid w:val="007575A5"/>
    <w:rsid w:val="00766146"/>
    <w:rsid w:val="0077682B"/>
    <w:rsid w:val="007B7FDF"/>
    <w:rsid w:val="007F350E"/>
    <w:rsid w:val="007F3541"/>
    <w:rsid w:val="008102DB"/>
    <w:rsid w:val="00823B84"/>
    <w:rsid w:val="00841B13"/>
    <w:rsid w:val="008466F5"/>
    <w:rsid w:val="00853EC4"/>
    <w:rsid w:val="00884154"/>
    <w:rsid w:val="008A68AC"/>
    <w:rsid w:val="008B464E"/>
    <w:rsid w:val="008C523E"/>
    <w:rsid w:val="009171AB"/>
    <w:rsid w:val="0099200A"/>
    <w:rsid w:val="00993F54"/>
    <w:rsid w:val="009B302D"/>
    <w:rsid w:val="009B6012"/>
    <w:rsid w:val="00A00E35"/>
    <w:rsid w:val="00A26090"/>
    <w:rsid w:val="00A3532A"/>
    <w:rsid w:val="00A44D99"/>
    <w:rsid w:val="00A47F54"/>
    <w:rsid w:val="00A548D6"/>
    <w:rsid w:val="00A9732F"/>
    <w:rsid w:val="00AA77B6"/>
    <w:rsid w:val="00AB012F"/>
    <w:rsid w:val="00AC1489"/>
    <w:rsid w:val="00AC15B2"/>
    <w:rsid w:val="00AC63A8"/>
    <w:rsid w:val="00AF3E85"/>
    <w:rsid w:val="00B10DE6"/>
    <w:rsid w:val="00B16DB6"/>
    <w:rsid w:val="00B96A02"/>
    <w:rsid w:val="00BA73B4"/>
    <w:rsid w:val="00BE2A9A"/>
    <w:rsid w:val="00C053E7"/>
    <w:rsid w:val="00C16183"/>
    <w:rsid w:val="00C47A41"/>
    <w:rsid w:val="00C60E66"/>
    <w:rsid w:val="00C923E7"/>
    <w:rsid w:val="00C94331"/>
    <w:rsid w:val="00CB6EAC"/>
    <w:rsid w:val="00CC0A93"/>
    <w:rsid w:val="00CC7F02"/>
    <w:rsid w:val="00CE557A"/>
    <w:rsid w:val="00CF6847"/>
    <w:rsid w:val="00D07242"/>
    <w:rsid w:val="00D33038"/>
    <w:rsid w:val="00D46F8F"/>
    <w:rsid w:val="00DC6131"/>
    <w:rsid w:val="00DE76C8"/>
    <w:rsid w:val="00E03510"/>
    <w:rsid w:val="00E10088"/>
    <w:rsid w:val="00E13092"/>
    <w:rsid w:val="00E22D64"/>
    <w:rsid w:val="00E67DA1"/>
    <w:rsid w:val="00E756A2"/>
    <w:rsid w:val="00EC6C09"/>
    <w:rsid w:val="00F115A4"/>
    <w:rsid w:val="00F14BF3"/>
    <w:rsid w:val="00F20936"/>
    <w:rsid w:val="00F5586A"/>
    <w:rsid w:val="00F975B7"/>
    <w:rsid w:val="00FB56E3"/>
    <w:rsid w:val="00FC02C5"/>
    <w:rsid w:val="00FC68F0"/>
    <w:rsid w:val="00FC7200"/>
    <w:rsid w:val="00FE2DB4"/>
    <w:rsid w:val="00FF1F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AE98A5-32B6-4C9F-917C-B88387E4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75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756A2"/>
    <w:pPr>
      <w:ind w:left="720"/>
      <w:contextualSpacing/>
    </w:pPr>
  </w:style>
  <w:style w:type="paragraph" w:styleId="En-tte">
    <w:name w:val="header"/>
    <w:basedOn w:val="Normal"/>
    <w:link w:val="En-tteCar"/>
    <w:uiPriority w:val="99"/>
    <w:unhideWhenUsed/>
    <w:rsid w:val="00524FF3"/>
    <w:pPr>
      <w:tabs>
        <w:tab w:val="center" w:pos="4536"/>
        <w:tab w:val="right" w:pos="9072"/>
      </w:tabs>
      <w:spacing w:after="0" w:line="240" w:lineRule="auto"/>
    </w:pPr>
  </w:style>
  <w:style w:type="character" w:customStyle="1" w:styleId="En-tteCar">
    <w:name w:val="En-tête Car"/>
    <w:basedOn w:val="Policepardfaut"/>
    <w:link w:val="En-tte"/>
    <w:uiPriority w:val="99"/>
    <w:rsid w:val="00524FF3"/>
  </w:style>
  <w:style w:type="paragraph" w:styleId="Pieddepage">
    <w:name w:val="footer"/>
    <w:basedOn w:val="Normal"/>
    <w:link w:val="PieddepageCar"/>
    <w:uiPriority w:val="99"/>
    <w:unhideWhenUsed/>
    <w:rsid w:val="00524F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4FF3"/>
  </w:style>
  <w:style w:type="character" w:styleId="Lienhypertexte">
    <w:name w:val="Hyperlink"/>
    <w:basedOn w:val="Policepardfaut"/>
    <w:uiPriority w:val="99"/>
    <w:unhideWhenUsed/>
    <w:rsid w:val="00060CBC"/>
    <w:rPr>
      <w:color w:val="0563C1" w:themeColor="hyperlink"/>
      <w:u w:val="single"/>
    </w:rPr>
  </w:style>
  <w:style w:type="character" w:styleId="Lienhypertextesuivivisit">
    <w:name w:val="FollowedHyperlink"/>
    <w:basedOn w:val="Policepardfaut"/>
    <w:uiPriority w:val="99"/>
    <w:semiHidden/>
    <w:unhideWhenUsed/>
    <w:rsid w:val="00060CBC"/>
    <w:rPr>
      <w:color w:val="954F72" w:themeColor="followedHyperlink"/>
      <w:u w:val="single"/>
    </w:rPr>
  </w:style>
  <w:style w:type="paragraph" w:styleId="Textedebulles">
    <w:name w:val="Balloon Text"/>
    <w:basedOn w:val="Normal"/>
    <w:link w:val="TextedebullesCar"/>
    <w:uiPriority w:val="99"/>
    <w:semiHidden/>
    <w:unhideWhenUsed/>
    <w:rsid w:val="00823B8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3B84"/>
    <w:rPr>
      <w:rFonts w:ascii="Segoe UI" w:hAnsi="Segoe UI" w:cs="Segoe UI"/>
      <w:sz w:val="18"/>
      <w:szCs w:val="18"/>
    </w:rPr>
  </w:style>
  <w:style w:type="paragraph" w:customStyle="1" w:styleId="Default">
    <w:name w:val="Default"/>
    <w:rsid w:val="00325A84"/>
    <w:pPr>
      <w:autoSpaceDE w:val="0"/>
      <w:autoSpaceDN w:val="0"/>
      <w:adjustRightInd w:val="0"/>
      <w:spacing w:after="0" w:line="240" w:lineRule="auto"/>
    </w:pPr>
    <w:rPr>
      <w:rFonts w:ascii="Verdana" w:hAnsi="Verdana" w:cs="Verdana"/>
      <w:color w:val="000000"/>
      <w:sz w:val="24"/>
      <w:szCs w:val="24"/>
    </w:rPr>
  </w:style>
  <w:style w:type="character" w:customStyle="1" w:styleId="current-selection">
    <w:name w:val="current-selection"/>
    <w:basedOn w:val="Policepardfaut"/>
    <w:rsid w:val="004C16B7"/>
  </w:style>
  <w:style w:type="character" w:customStyle="1" w:styleId="a">
    <w:name w:val="_"/>
    <w:basedOn w:val="Policepardfaut"/>
    <w:rsid w:val="004C16B7"/>
  </w:style>
  <w:style w:type="character" w:customStyle="1" w:styleId="ff7">
    <w:name w:val="ff7"/>
    <w:basedOn w:val="Policepardfaut"/>
    <w:rsid w:val="004C16B7"/>
  </w:style>
  <w:style w:type="character" w:customStyle="1" w:styleId="ff8">
    <w:name w:val="ff8"/>
    <w:basedOn w:val="Policepardfaut"/>
    <w:rsid w:val="004C16B7"/>
  </w:style>
  <w:style w:type="paragraph" w:styleId="Lgende">
    <w:name w:val="caption"/>
    <w:basedOn w:val="Normal"/>
    <w:next w:val="Normal"/>
    <w:uiPriority w:val="35"/>
    <w:unhideWhenUsed/>
    <w:qFormat/>
    <w:rsid w:val="0052207E"/>
    <w:pPr>
      <w:spacing w:after="200" w:line="240" w:lineRule="auto"/>
    </w:pPr>
    <w:rPr>
      <w:i/>
      <w:iCs/>
      <w:color w:val="44546A" w:themeColor="text2"/>
      <w:sz w:val="18"/>
      <w:szCs w:val="18"/>
    </w:rPr>
  </w:style>
  <w:style w:type="character" w:styleId="Marquedecommentaire">
    <w:name w:val="annotation reference"/>
    <w:basedOn w:val="Policepardfaut"/>
    <w:uiPriority w:val="99"/>
    <w:semiHidden/>
    <w:unhideWhenUsed/>
    <w:rsid w:val="00EC6C09"/>
    <w:rPr>
      <w:sz w:val="16"/>
      <w:szCs w:val="16"/>
    </w:rPr>
  </w:style>
  <w:style w:type="paragraph" w:styleId="Commentaire">
    <w:name w:val="annotation text"/>
    <w:basedOn w:val="Normal"/>
    <w:link w:val="CommentaireCar"/>
    <w:uiPriority w:val="99"/>
    <w:semiHidden/>
    <w:unhideWhenUsed/>
    <w:rsid w:val="00EC6C09"/>
    <w:pPr>
      <w:spacing w:line="240" w:lineRule="auto"/>
    </w:pPr>
    <w:rPr>
      <w:sz w:val="20"/>
      <w:szCs w:val="20"/>
    </w:rPr>
  </w:style>
  <w:style w:type="character" w:customStyle="1" w:styleId="CommentaireCar">
    <w:name w:val="Commentaire Car"/>
    <w:basedOn w:val="Policepardfaut"/>
    <w:link w:val="Commentaire"/>
    <w:uiPriority w:val="99"/>
    <w:semiHidden/>
    <w:rsid w:val="00EC6C09"/>
    <w:rPr>
      <w:sz w:val="20"/>
      <w:szCs w:val="20"/>
    </w:rPr>
  </w:style>
  <w:style w:type="paragraph" w:styleId="Objetducommentaire">
    <w:name w:val="annotation subject"/>
    <w:basedOn w:val="Commentaire"/>
    <w:next w:val="Commentaire"/>
    <w:link w:val="ObjetducommentaireCar"/>
    <w:uiPriority w:val="99"/>
    <w:semiHidden/>
    <w:unhideWhenUsed/>
    <w:rsid w:val="00EC6C09"/>
    <w:rPr>
      <w:b/>
      <w:bCs/>
    </w:rPr>
  </w:style>
  <w:style w:type="character" w:customStyle="1" w:styleId="ObjetducommentaireCar">
    <w:name w:val="Objet du commentaire Car"/>
    <w:basedOn w:val="CommentaireCar"/>
    <w:link w:val="Objetducommentaire"/>
    <w:uiPriority w:val="99"/>
    <w:semiHidden/>
    <w:rsid w:val="00EC6C09"/>
    <w:rPr>
      <w:b/>
      <w:bCs/>
      <w:sz w:val="20"/>
      <w:szCs w:val="20"/>
    </w:rPr>
  </w:style>
  <w:style w:type="paragraph" w:styleId="Rvision">
    <w:name w:val="Revision"/>
    <w:hidden/>
    <w:uiPriority w:val="99"/>
    <w:semiHidden/>
    <w:rsid w:val="007F3541"/>
    <w:pPr>
      <w:spacing w:after="0" w:line="240" w:lineRule="auto"/>
    </w:pPr>
  </w:style>
  <w:style w:type="character" w:customStyle="1" w:styleId="element-citation">
    <w:name w:val="element-citation"/>
    <w:basedOn w:val="Policepardfaut"/>
    <w:rsid w:val="00FC68F0"/>
  </w:style>
  <w:style w:type="character" w:styleId="Accentuation">
    <w:name w:val="Emphasis"/>
    <w:basedOn w:val="Policepardfaut"/>
    <w:uiPriority w:val="20"/>
    <w:qFormat/>
    <w:rsid w:val="00FC68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422807">
      <w:bodyDiv w:val="1"/>
      <w:marLeft w:val="0"/>
      <w:marRight w:val="0"/>
      <w:marTop w:val="0"/>
      <w:marBottom w:val="0"/>
      <w:divBdr>
        <w:top w:val="none" w:sz="0" w:space="0" w:color="auto"/>
        <w:left w:val="none" w:sz="0" w:space="0" w:color="auto"/>
        <w:bottom w:val="none" w:sz="0" w:space="0" w:color="auto"/>
        <w:right w:val="none" w:sz="0" w:space="0" w:color="auto"/>
      </w:divBdr>
      <w:divsChild>
        <w:div w:id="1618490268">
          <w:marLeft w:val="0"/>
          <w:marRight w:val="0"/>
          <w:marTop w:val="0"/>
          <w:marBottom w:val="0"/>
          <w:divBdr>
            <w:top w:val="none" w:sz="0" w:space="0" w:color="auto"/>
            <w:left w:val="none" w:sz="0" w:space="0" w:color="auto"/>
            <w:bottom w:val="none" w:sz="0" w:space="0" w:color="auto"/>
            <w:right w:val="none" w:sz="0" w:space="0" w:color="auto"/>
          </w:divBdr>
        </w:div>
        <w:div w:id="179591365">
          <w:marLeft w:val="0"/>
          <w:marRight w:val="0"/>
          <w:marTop w:val="0"/>
          <w:marBottom w:val="0"/>
          <w:divBdr>
            <w:top w:val="none" w:sz="0" w:space="0" w:color="auto"/>
            <w:left w:val="none" w:sz="0" w:space="0" w:color="auto"/>
            <w:bottom w:val="none" w:sz="0" w:space="0" w:color="auto"/>
            <w:right w:val="none" w:sz="0" w:space="0" w:color="auto"/>
          </w:divBdr>
        </w:div>
      </w:divsChild>
    </w:div>
    <w:div w:id="542401014">
      <w:bodyDiv w:val="1"/>
      <w:marLeft w:val="0"/>
      <w:marRight w:val="0"/>
      <w:marTop w:val="0"/>
      <w:marBottom w:val="0"/>
      <w:divBdr>
        <w:top w:val="none" w:sz="0" w:space="0" w:color="auto"/>
        <w:left w:val="none" w:sz="0" w:space="0" w:color="auto"/>
        <w:bottom w:val="none" w:sz="0" w:space="0" w:color="auto"/>
        <w:right w:val="none" w:sz="0" w:space="0" w:color="auto"/>
      </w:divBdr>
      <w:divsChild>
        <w:div w:id="321354999">
          <w:marLeft w:val="0"/>
          <w:marRight w:val="0"/>
          <w:marTop w:val="0"/>
          <w:marBottom w:val="0"/>
          <w:divBdr>
            <w:top w:val="none" w:sz="0" w:space="0" w:color="auto"/>
            <w:left w:val="none" w:sz="0" w:space="0" w:color="auto"/>
            <w:bottom w:val="none" w:sz="0" w:space="0" w:color="auto"/>
            <w:right w:val="none" w:sz="0" w:space="0" w:color="auto"/>
          </w:divBdr>
        </w:div>
        <w:div w:id="987782286">
          <w:marLeft w:val="0"/>
          <w:marRight w:val="0"/>
          <w:marTop w:val="0"/>
          <w:marBottom w:val="0"/>
          <w:divBdr>
            <w:top w:val="none" w:sz="0" w:space="0" w:color="auto"/>
            <w:left w:val="none" w:sz="0" w:space="0" w:color="auto"/>
            <w:bottom w:val="none" w:sz="0" w:space="0" w:color="auto"/>
            <w:right w:val="none" w:sz="0" w:space="0" w:color="auto"/>
          </w:divBdr>
        </w:div>
        <w:div w:id="1259370086">
          <w:marLeft w:val="0"/>
          <w:marRight w:val="0"/>
          <w:marTop w:val="0"/>
          <w:marBottom w:val="0"/>
          <w:divBdr>
            <w:top w:val="none" w:sz="0" w:space="0" w:color="auto"/>
            <w:left w:val="none" w:sz="0" w:space="0" w:color="auto"/>
            <w:bottom w:val="none" w:sz="0" w:space="0" w:color="auto"/>
            <w:right w:val="none" w:sz="0" w:space="0" w:color="auto"/>
          </w:divBdr>
        </w:div>
        <w:div w:id="1314917164">
          <w:marLeft w:val="0"/>
          <w:marRight w:val="0"/>
          <w:marTop w:val="0"/>
          <w:marBottom w:val="0"/>
          <w:divBdr>
            <w:top w:val="none" w:sz="0" w:space="0" w:color="auto"/>
            <w:left w:val="none" w:sz="0" w:space="0" w:color="auto"/>
            <w:bottom w:val="none" w:sz="0" w:space="0" w:color="auto"/>
            <w:right w:val="none" w:sz="0" w:space="0" w:color="auto"/>
          </w:divBdr>
        </w:div>
        <w:div w:id="454368969">
          <w:marLeft w:val="0"/>
          <w:marRight w:val="0"/>
          <w:marTop w:val="0"/>
          <w:marBottom w:val="0"/>
          <w:divBdr>
            <w:top w:val="none" w:sz="0" w:space="0" w:color="auto"/>
            <w:left w:val="none" w:sz="0" w:space="0" w:color="auto"/>
            <w:bottom w:val="none" w:sz="0" w:space="0" w:color="auto"/>
            <w:right w:val="none" w:sz="0" w:space="0" w:color="auto"/>
          </w:divBdr>
        </w:div>
      </w:divsChild>
    </w:div>
    <w:div w:id="670716109">
      <w:bodyDiv w:val="1"/>
      <w:marLeft w:val="0"/>
      <w:marRight w:val="0"/>
      <w:marTop w:val="0"/>
      <w:marBottom w:val="0"/>
      <w:divBdr>
        <w:top w:val="none" w:sz="0" w:space="0" w:color="auto"/>
        <w:left w:val="none" w:sz="0" w:space="0" w:color="auto"/>
        <w:bottom w:val="none" w:sz="0" w:space="0" w:color="auto"/>
        <w:right w:val="none" w:sz="0" w:space="0" w:color="auto"/>
      </w:divBdr>
      <w:divsChild>
        <w:div w:id="134183542">
          <w:marLeft w:val="0"/>
          <w:marRight w:val="0"/>
          <w:marTop w:val="0"/>
          <w:marBottom w:val="0"/>
          <w:divBdr>
            <w:top w:val="none" w:sz="0" w:space="0" w:color="auto"/>
            <w:left w:val="none" w:sz="0" w:space="0" w:color="auto"/>
            <w:bottom w:val="none" w:sz="0" w:space="0" w:color="auto"/>
            <w:right w:val="none" w:sz="0" w:space="0" w:color="auto"/>
          </w:divBdr>
        </w:div>
        <w:div w:id="538205294">
          <w:marLeft w:val="0"/>
          <w:marRight w:val="0"/>
          <w:marTop w:val="0"/>
          <w:marBottom w:val="0"/>
          <w:divBdr>
            <w:top w:val="none" w:sz="0" w:space="0" w:color="auto"/>
            <w:left w:val="none" w:sz="0" w:space="0" w:color="auto"/>
            <w:bottom w:val="none" w:sz="0" w:space="0" w:color="auto"/>
            <w:right w:val="none" w:sz="0" w:space="0" w:color="auto"/>
          </w:divBdr>
        </w:div>
        <w:div w:id="384262450">
          <w:marLeft w:val="0"/>
          <w:marRight w:val="0"/>
          <w:marTop w:val="0"/>
          <w:marBottom w:val="0"/>
          <w:divBdr>
            <w:top w:val="none" w:sz="0" w:space="0" w:color="auto"/>
            <w:left w:val="none" w:sz="0" w:space="0" w:color="auto"/>
            <w:bottom w:val="none" w:sz="0" w:space="0" w:color="auto"/>
            <w:right w:val="none" w:sz="0" w:space="0" w:color="auto"/>
          </w:divBdr>
        </w:div>
        <w:div w:id="1491402844">
          <w:marLeft w:val="0"/>
          <w:marRight w:val="0"/>
          <w:marTop w:val="0"/>
          <w:marBottom w:val="0"/>
          <w:divBdr>
            <w:top w:val="none" w:sz="0" w:space="0" w:color="auto"/>
            <w:left w:val="none" w:sz="0" w:space="0" w:color="auto"/>
            <w:bottom w:val="none" w:sz="0" w:space="0" w:color="auto"/>
            <w:right w:val="none" w:sz="0" w:space="0" w:color="auto"/>
          </w:divBdr>
        </w:div>
        <w:div w:id="1164397874">
          <w:marLeft w:val="0"/>
          <w:marRight w:val="0"/>
          <w:marTop w:val="0"/>
          <w:marBottom w:val="0"/>
          <w:divBdr>
            <w:top w:val="none" w:sz="0" w:space="0" w:color="auto"/>
            <w:left w:val="none" w:sz="0" w:space="0" w:color="auto"/>
            <w:bottom w:val="none" w:sz="0" w:space="0" w:color="auto"/>
            <w:right w:val="none" w:sz="0" w:space="0" w:color="auto"/>
          </w:divBdr>
        </w:div>
      </w:divsChild>
    </w:div>
    <w:div w:id="921135150">
      <w:bodyDiv w:val="1"/>
      <w:marLeft w:val="0"/>
      <w:marRight w:val="0"/>
      <w:marTop w:val="0"/>
      <w:marBottom w:val="0"/>
      <w:divBdr>
        <w:top w:val="none" w:sz="0" w:space="0" w:color="auto"/>
        <w:left w:val="none" w:sz="0" w:space="0" w:color="auto"/>
        <w:bottom w:val="none" w:sz="0" w:space="0" w:color="auto"/>
        <w:right w:val="none" w:sz="0" w:space="0" w:color="auto"/>
      </w:divBdr>
      <w:divsChild>
        <w:div w:id="271013789">
          <w:marLeft w:val="0"/>
          <w:marRight w:val="0"/>
          <w:marTop w:val="0"/>
          <w:marBottom w:val="0"/>
          <w:divBdr>
            <w:top w:val="none" w:sz="0" w:space="0" w:color="auto"/>
            <w:left w:val="none" w:sz="0" w:space="0" w:color="auto"/>
            <w:bottom w:val="none" w:sz="0" w:space="0" w:color="auto"/>
            <w:right w:val="none" w:sz="0" w:space="0" w:color="auto"/>
          </w:divBdr>
        </w:div>
        <w:div w:id="1044477738">
          <w:marLeft w:val="0"/>
          <w:marRight w:val="0"/>
          <w:marTop w:val="0"/>
          <w:marBottom w:val="0"/>
          <w:divBdr>
            <w:top w:val="none" w:sz="0" w:space="0" w:color="auto"/>
            <w:left w:val="none" w:sz="0" w:space="0" w:color="auto"/>
            <w:bottom w:val="none" w:sz="0" w:space="0" w:color="auto"/>
            <w:right w:val="none" w:sz="0" w:space="0" w:color="auto"/>
          </w:divBdr>
        </w:div>
      </w:divsChild>
    </w:div>
    <w:div w:id="949555534">
      <w:bodyDiv w:val="1"/>
      <w:marLeft w:val="0"/>
      <w:marRight w:val="0"/>
      <w:marTop w:val="0"/>
      <w:marBottom w:val="0"/>
      <w:divBdr>
        <w:top w:val="none" w:sz="0" w:space="0" w:color="auto"/>
        <w:left w:val="none" w:sz="0" w:space="0" w:color="auto"/>
        <w:bottom w:val="none" w:sz="0" w:space="0" w:color="auto"/>
        <w:right w:val="none" w:sz="0" w:space="0" w:color="auto"/>
      </w:divBdr>
      <w:divsChild>
        <w:div w:id="1921407826">
          <w:marLeft w:val="0"/>
          <w:marRight w:val="0"/>
          <w:marTop w:val="0"/>
          <w:marBottom w:val="0"/>
          <w:divBdr>
            <w:top w:val="none" w:sz="0" w:space="0" w:color="auto"/>
            <w:left w:val="none" w:sz="0" w:space="0" w:color="auto"/>
            <w:bottom w:val="none" w:sz="0" w:space="0" w:color="auto"/>
            <w:right w:val="none" w:sz="0" w:space="0" w:color="auto"/>
          </w:divBdr>
        </w:div>
        <w:div w:id="479419217">
          <w:marLeft w:val="0"/>
          <w:marRight w:val="0"/>
          <w:marTop w:val="0"/>
          <w:marBottom w:val="0"/>
          <w:divBdr>
            <w:top w:val="none" w:sz="0" w:space="0" w:color="auto"/>
            <w:left w:val="none" w:sz="0" w:space="0" w:color="auto"/>
            <w:bottom w:val="none" w:sz="0" w:space="0" w:color="auto"/>
            <w:right w:val="none" w:sz="0" w:space="0" w:color="auto"/>
          </w:divBdr>
          <w:divsChild>
            <w:div w:id="1172186712">
              <w:marLeft w:val="0"/>
              <w:marRight w:val="0"/>
              <w:marTop w:val="0"/>
              <w:marBottom w:val="0"/>
              <w:divBdr>
                <w:top w:val="none" w:sz="0" w:space="0" w:color="auto"/>
                <w:left w:val="none" w:sz="0" w:space="0" w:color="auto"/>
                <w:bottom w:val="none" w:sz="0" w:space="0" w:color="auto"/>
                <w:right w:val="none" w:sz="0" w:space="0" w:color="auto"/>
              </w:divBdr>
              <w:divsChild>
                <w:div w:id="460925738">
                  <w:marLeft w:val="0"/>
                  <w:marRight w:val="0"/>
                  <w:marTop w:val="0"/>
                  <w:marBottom w:val="0"/>
                  <w:divBdr>
                    <w:top w:val="none" w:sz="0" w:space="0" w:color="auto"/>
                    <w:left w:val="none" w:sz="0" w:space="0" w:color="auto"/>
                    <w:bottom w:val="none" w:sz="0" w:space="0" w:color="auto"/>
                    <w:right w:val="none" w:sz="0" w:space="0" w:color="auto"/>
                  </w:divBdr>
                  <w:divsChild>
                    <w:div w:id="2120106516">
                      <w:marLeft w:val="0"/>
                      <w:marRight w:val="0"/>
                      <w:marTop w:val="0"/>
                      <w:marBottom w:val="0"/>
                      <w:divBdr>
                        <w:top w:val="none" w:sz="0" w:space="0" w:color="auto"/>
                        <w:left w:val="none" w:sz="0" w:space="0" w:color="auto"/>
                        <w:bottom w:val="none" w:sz="0" w:space="0" w:color="auto"/>
                        <w:right w:val="none" w:sz="0" w:space="0" w:color="auto"/>
                      </w:divBdr>
                    </w:div>
                  </w:divsChild>
                </w:div>
                <w:div w:id="2090539526">
                  <w:marLeft w:val="0"/>
                  <w:marRight w:val="0"/>
                  <w:marTop w:val="0"/>
                  <w:marBottom w:val="0"/>
                  <w:divBdr>
                    <w:top w:val="none" w:sz="0" w:space="0" w:color="auto"/>
                    <w:left w:val="none" w:sz="0" w:space="0" w:color="auto"/>
                    <w:bottom w:val="none" w:sz="0" w:space="0" w:color="auto"/>
                    <w:right w:val="none" w:sz="0" w:space="0" w:color="auto"/>
                  </w:divBdr>
                  <w:divsChild>
                    <w:div w:id="209846445">
                      <w:marLeft w:val="0"/>
                      <w:marRight w:val="0"/>
                      <w:marTop w:val="0"/>
                      <w:marBottom w:val="0"/>
                      <w:divBdr>
                        <w:top w:val="none" w:sz="0" w:space="0" w:color="auto"/>
                        <w:left w:val="none" w:sz="0" w:space="0" w:color="auto"/>
                        <w:bottom w:val="none" w:sz="0" w:space="0" w:color="auto"/>
                        <w:right w:val="none" w:sz="0" w:space="0" w:color="auto"/>
                      </w:divBdr>
                    </w:div>
                  </w:divsChild>
                </w:div>
                <w:div w:id="660037694">
                  <w:marLeft w:val="0"/>
                  <w:marRight w:val="0"/>
                  <w:marTop w:val="0"/>
                  <w:marBottom w:val="0"/>
                  <w:divBdr>
                    <w:top w:val="none" w:sz="0" w:space="0" w:color="auto"/>
                    <w:left w:val="none" w:sz="0" w:space="0" w:color="auto"/>
                    <w:bottom w:val="none" w:sz="0" w:space="0" w:color="auto"/>
                    <w:right w:val="none" w:sz="0" w:space="0" w:color="auto"/>
                  </w:divBdr>
                  <w:divsChild>
                    <w:div w:id="15573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0267">
              <w:marLeft w:val="0"/>
              <w:marRight w:val="0"/>
              <w:marTop w:val="0"/>
              <w:marBottom w:val="0"/>
              <w:divBdr>
                <w:top w:val="none" w:sz="0" w:space="0" w:color="auto"/>
                <w:left w:val="none" w:sz="0" w:space="0" w:color="auto"/>
                <w:bottom w:val="none" w:sz="0" w:space="0" w:color="auto"/>
                <w:right w:val="none" w:sz="0" w:space="0" w:color="auto"/>
              </w:divBdr>
              <w:divsChild>
                <w:div w:id="945386426">
                  <w:marLeft w:val="0"/>
                  <w:marRight w:val="0"/>
                  <w:marTop w:val="0"/>
                  <w:marBottom w:val="0"/>
                  <w:divBdr>
                    <w:top w:val="none" w:sz="0" w:space="0" w:color="auto"/>
                    <w:left w:val="none" w:sz="0" w:space="0" w:color="auto"/>
                    <w:bottom w:val="none" w:sz="0" w:space="0" w:color="auto"/>
                    <w:right w:val="none" w:sz="0" w:space="0" w:color="auto"/>
                  </w:divBdr>
                  <w:divsChild>
                    <w:div w:id="199322419">
                      <w:marLeft w:val="0"/>
                      <w:marRight w:val="0"/>
                      <w:marTop w:val="0"/>
                      <w:marBottom w:val="0"/>
                      <w:divBdr>
                        <w:top w:val="none" w:sz="0" w:space="0" w:color="auto"/>
                        <w:left w:val="none" w:sz="0" w:space="0" w:color="auto"/>
                        <w:bottom w:val="none" w:sz="0" w:space="0" w:color="auto"/>
                        <w:right w:val="none" w:sz="0" w:space="0" w:color="auto"/>
                      </w:divBdr>
                      <w:divsChild>
                        <w:div w:id="580414160">
                          <w:marLeft w:val="0"/>
                          <w:marRight w:val="0"/>
                          <w:marTop w:val="0"/>
                          <w:marBottom w:val="0"/>
                          <w:divBdr>
                            <w:top w:val="none" w:sz="0" w:space="0" w:color="auto"/>
                            <w:left w:val="none" w:sz="0" w:space="0" w:color="auto"/>
                            <w:bottom w:val="none" w:sz="0" w:space="0" w:color="auto"/>
                            <w:right w:val="none" w:sz="0" w:space="0" w:color="auto"/>
                          </w:divBdr>
                        </w:div>
                        <w:div w:id="14461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20371">
                  <w:marLeft w:val="0"/>
                  <w:marRight w:val="0"/>
                  <w:marTop w:val="0"/>
                  <w:marBottom w:val="0"/>
                  <w:divBdr>
                    <w:top w:val="none" w:sz="0" w:space="0" w:color="auto"/>
                    <w:left w:val="none" w:sz="0" w:space="0" w:color="auto"/>
                    <w:bottom w:val="none" w:sz="0" w:space="0" w:color="auto"/>
                    <w:right w:val="none" w:sz="0" w:space="0" w:color="auto"/>
                  </w:divBdr>
                  <w:divsChild>
                    <w:div w:id="949048361">
                      <w:marLeft w:val="0"/>
                      <w:marRight w:val="0"/>
                      <w:marTop w:val="0"/>
                      <w:marBottom w:val="0"/>
                      <w:divBdr>
                        <w:top w:val="none" w:sz="0" w:space="0" w:color="auto"/>
                        <w:left w:val="none" w:sz="0" w:space="0" w:color="auto"/>
                        <w:bottom w:val="none" w:sz="0" w:space="0" w:color="auto"/>
                        <w:right w:val="none" w:sz="0" w:space="0" w:color="auto"/>
                      </w:divBdr>
                      <w:divsChild>
                        <w:div w:id="1224222314">
                          <w:marLeft w:val="0"/>
                          <w:marRight w:val="0"/>
                          <w:marTop w:val="0"/>
                          <w:marBottom w:val="0"/>
                          <w:divBdr>
                            <w:top w:val="none" w:sz="0" w:space="0" w:color="auto"/>
                            <w:left w:val="none" w:sz="0" w:space="0" w:color="auto"/>
                            <w:bottom w:val="none" w:sz="0" w:space="0" w:color="auto"/>
                            <w:right w:val="none" w:sz="0" w:space="0" w:color="auto"/>
                          </w:divBdr>
                        </w:div>
                        <w:div w:id="13092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27310">
                  <w:marLeft w:val="0"/>
                  <w:marRight w:val="0"/>
                  <w:marTop w:val="0"/>
                  <w:marBottom w:val="0"/>
                  <w:divBdr>
                    <w:top w:val="none" w:sz="0" w:space="0" w:color="auto"/>
                    <w:left w:val="none" w:sz="0" w:space="0" w:color="auto"/>
                    <w:bottom w:val="none" w:sz="0" w:space="0" w:color="auto"/>
                    <w:right w:val="none" w:sz="0" w:space="0" w:color="auto"/>
                  </w:divBdr>
                  <w:divsChild>
                    <w:div w:id="413940951">
                      <w:marLeft w:val="0"/>
                      <w:marRight w:val="0"/>
                      <w:marTop w:val="0"/>
                      <w:marBottom w:val="0"/>
                      <w:divBdr>
                        <w:top w:val="none" w:sz="0" w:space="0" w:color="auto"/>
                        <w:left w:val="none" w:sz="0" w:space="0" w:color="auto"/>
                        <w:bottom w:val="none" w:sz="0" w:space="0" w:color="auto"/>
                        <w:right w:val="none" w:sz="0" w:space="0" w:color="auto"/>
                      </w:divBdr>
                      <w:divsChild>
                        <w:div w:id="1481264422">
                          <w:marLeft w:val="0"/>
                          <w:marRight w:val="0"/>
                          <w:marTop w:val="0"/>
                          <w:marBottom w:val="0"/>
                          <w:divBdr>
                            <w:top w:val="none" w:sz="0" w:space="0" w:color="auto"/>
                            <w:left w:val="none" w:sz="0" w:space="0" w:color="auto"/>
                            <w:bottom w:val="none" w:sz="0" w:space="0" w:color="auto"/>
                            <w:right w:val="none" w:sz="0" w:space="0" w:color="auto"/>
                          </w:divBdr>
                        </w:div>
                        <w:div w:id="15190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7258">
                  <w:marLeft w:val="0"/>
                  <w:marRight w:val="0"/>
                  <w:marTop w:val="0"/>
                  <w:marBottom w:val="0"/>
                  <w:divBdr>
                    <w:top w:val="none" w:sz="0" w:space="0" w:color="auto"/>
                    <w:left w:val="none" w:sz="0" w:space="0" w:color="auto"/>
                    <w:bottom w:val="none" w:sz="0" w:space="0" w:color="auto"/>
                    <w:right w:val="none" w:sz="0" w:space="0" w:color="auto"/>
                  </w:divBdr>
                  <w:divsChild>
                    <w:div w:id="71284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940674">
          <w:marLeft w:val="0"/>
          <w:marRight w:val="0"/>
          <w:marTop w:val="0"/>
          <w:marBottom w:val="0"/>
          <w:divBdr>
            <w:top w:val="none" w:sz="0" w:space="0" w:color="auto"/>
            <w:left w:val="none" w:sz="0" w:space="0" w:color="auto"/>
            <w:bottom w:val="none" w:sz="0" w:space="0" w:color="auto"/>
            <w:right w:val="none" w:sz="0" w:space="0" w:color="auto"/>
          </w:divBdr>
          <w:divsChild>
            <w:div w:id="1240754194">
              <w:marLeft w:val="0"/>
              <w:marRight w:val="75"/>
              <w:marTop w:val="0"/>
              <w:marBottom w:val="0"/>
              <w:divBdr>
                <w:top w:val="none" w:sz="0" w:space="0" w:color="auto"/>
                <w:left w:val="none" w:sz="0" w:space="0" w:color="auto"/>
                <w:bottom w:val="none" w:sz="0" w:space="0" w:color="auto"/>
                <w:right w:val="none" w:sz="0" w:space="0" w:color="auto"/>
              </w:divBdr>
            </w:div>
            <w:div w:id="664087829">
              <w:marLeft w:val="0"/>
              <w:marRight w:val="0"/>
              <w:marTop w:val="0"/>
              <w:marBottom w:val="0"/>
              <w:divBdr>
                <w:top w:val="none" w:sz="0" w:space="0" w:color="auto"/>
                <w:left w:val="none" w:sz="0" w:space="0" w:color="auto"/>
                <w:bottom w:val="none" w:sz="0" w:space="0" w:color="auto"/>
                <w:right w:val="none" w:sz="0" w:space="0" w:color="auto"/>
              </w:divBdr>
            </w:div>
            <w:div w:id="481040277">
              <w:marLeft w:val="0"/>
              <w:marRight w:val="0"/>
              <w:marTop w:val="0"/>
              <w:marBottom w:val="0"/>
              <w:divBdr>
                <w:top w:val="none" w:sz="0" w:space="0" w:color="auto"/>
                <w:left w:val="none" w:sz="0" w:space="0" w:color="auto"/>
                <w:bottom w:val="none" w:sz="0" w:space="0" w:color="auto"/>
                <w:right w:val="none" w:sz="0" w:space="0" w:color="auto"/>
              </w:divBdr>
            </w:div>
            <w:div w:id="2093358780">
              <w:marLeft w:val="0"/>
              <w:marRight w:val="0"/>
              <w:marTop w:val="0"/>
              <w:marBottom w:val="0"/>
              <w:divBdr>
                <w:top w:val="none" w:sz="0" w:space="0" w:color="auto"/>
                <w:left w:val="none" w:sz="0" w:space="0" w:color="auto"/>
                <w:bottom w:val="none" w:sz="0" w:space="0" w:color="auto"/>
                <w:right w:val="none" w:sz="0" w:space="0" w:color="auto"/>
              </w:divBdr>
              <w:divsChild>
                <w:div w:id="971986454">
                  <w:marLeft w:val="0"/>
                  <w:marRight w:val="0"/>
                  <w:marTop w:val="0"/>
                  <w:marBottom w:val="0"/>
                  <w:divBdr>
                    <w:top w:val="none" w:sz="0" w:space="0" w:color="auto"/>
                    <w:left w:val="none" w:sz="0" w:space="0" w:color="auto"/>
                    <w:bottom w:val="none" w:sz="0" w:space="0" w:color="auto"/>
                    <w:right w:val="none" w:sz="0" w:space="0" w:color="auto"/>
                  </w:divBdr>
                  <w:divsChild>
                    <w:div w:id="284971020">
                      <w:marLeft w:val="0"/>
                      <w:marRight w:val="0"/>
                      <w:marTop w:val="0"/>
                      <w:marBottom w:val="0"/>
                      <w:divBdr>
                        <w:top w:val="none" w:sz="0" w:space="0" w:color="auto"/>
                        <w:left w:val="none" w:sz="0" w:space="0" w:color="auto"/>
                        <w:bottom w:val="none" w:sz="0" w:space="0" w:color="auto"/>
                        <w:right w:val="none" w:sz="0" w:space="0" w:color="auto"/>
                      </w:divBdr>
                    </w:div>
                    <w:div w:id="221871558">
                      <w:marLeft w:val="0"/>
                      <w:marRight w:val="0"/>
                      <w:marTop w:val="0"/>
                      <w:marBottom w:val="0"/>
                      <w:divBdr>
                        <w:top w:val="none" w:sz="0" w:space="0" w:color="auto"/>
                        <w:left w:val="none" w:sz="0" w:space="0" w:color="auto"/>
                        <w:bottom w:val="none" w:sz="0" w:space="0" w:color="auto"/>
                        <w:right w:val="none" w:sz="0" w:space="0" w:color="auto"/>
                      </w:divBdr>
                    </w:div>
                  </w:divsChild>
                </w:div>
                <w:div w:id="1990789884">
                  <w:marLeft w:val="0"/>
                  <w:marRight w:val="0"/>
                  <w:marTop w:val="0"/>
                  <w:marBottom w:val="0"/>
                  <w:divBdr>
                    <w:top w:val="none" w:sz="0" w:space="0" w:color="auto"/>
                    <w:left w:val="none" w:sz="0" w:space="0" w:color="auto"/>
                    <w:bottom w:val="none" w:sz="0" w:space="0" w:color="auto"/>
                    <w:right w:val="none" w:sz="0" w:space="0" w:color="auto"/>
                  </w:divBdr>
                </w:div>
              </w:divsChild>
            </w:div>
            <w:div w:id="675690823">
              <w:marLeft w:val="0"/>
              <w:marRight w:val="0"/>
              <w:marTop w:val="0"/>
              <w:marBottom w:val="0"/>
              <w:divBdr>
                <w:top w:val="none" w:sz="0" w:space="0" w:color="auto"/>
                <w:left w:val="none" w:sz="0" w:space="0" w:color="auto"/>
                <w:bottom w:val="none" w:sz="0" w:space="0" w:color="auto"/>
                <w:right w:val="none" w:sz="0" w:space="0" w:color="auto"/>
              </w:divBdr>
              <w:divsChild>
                <w:div w:id="504055408">
                  <w:marLeft w:val="0"/>
                  <w:marRight w:val="0"/>
                  <w:marTop w:val="0"/>
                  <w:marBottom w:val="0"/>
                  <w:divBdr>
                    <w:top w:val="none" w:sz="0" w:space="0" w:color="auto"/>
                    <w:left w:val="none" w:sz="0" w:space="0" w:color="auto"/>
                    <w:bottom w:val="none" w:sz="0" w:space="0" w:color="auto"/>
                    <w:right w:val="none" w:sz="0" w:space="0" w:color="auto"/>
                  </w:divBdr>
                  <w:divsChild>
                    <w:div w:id="409500217">
                      <w:marLeft w:val="0"/>
                      <w:marRight w:val="0"/>
                      <w:marTop w:val="0"/>
                      <w:marBottom w:val="0"/>
                      <w:divBdr>
                        <w:top w:val="none" w:sz="0" w:space="0" w:color="auto"/>
                        <w:left w:val="none" w:sz="0" w:space="0" w:color="auto"/>
                        <w:bottom w:val="none" w:sz="0" w:space="0" w:color="auto"/>
                        <w:right w:val="none" w:sz="0" w:space="0" w:color="auto"/>
                      </w:divBdr>
                    </w:div>
                    <w:div w:id="435292615">
                      <w:marLeft w:val="0"/>
                      <w:marRight w:val="0"/>
                      <w:marTop w:val="0"/>
                      <w:marBottom w:val="0"/>
                      <w:divBdr>
                        <w:top w:val="none" w:sz="0" w:space="0" w:color="auto"/>
                        <w:left w:val="none" w:sz="0" w:space="0" w:color="auto"/>
                        <w:bottom w:val="none" w:sz="0" w:space="0" w:color="auto"/>
                        <w:right w:val="none" w:sz="0" w:space="0" w:color="auto"/>
                      </w:divBdr>
                    </w:div>
                  </w:divsChild>
                </w:div>
                <w:div w:id="1263486899">
                  <w:marLeft w:val="0"/>
                  <w:marRight w:val="0"/>
                  <w:marTop w:val="0"/>
                  <w:marBottom w:val="0"/>
                  <w:divBdr>
                    <w:top w:val="none" w:sz="0" w:space="0" w:color="auto"/>
                    <w:left w:val="none" w:sz="0" w:space="0" w:color="auto"/>
                    <w:bottom w:val="none" w:sz="0" w:space="0" w:color="auto"/>
                    <w:right w:val="none" w:sz="0" w:space="0" w:color="auto"/>
                  </w:divBdr>
                </w:div>
              </w:divsChild>
            </w:div>
            <w:div w:id="1743867500">
              <w:marLeft w:val="0"/>
              <w:marRight w:val="0"/>
              <w:marTop w:val="0"/>
              <w:marBottom w:val="0"/>
              <w:divBdr>
                <w:top w:val="none" w:sz="0" w:space="0" w:color="auto"/>
                <w:left w:val="none" w:sz="0" w:space="0" w:color="auto"/>
                <w:bottom w:val="none" w:sz="0" w:space="0" w:color="auto"/>
                <w:right w:val="none" w:sz="0" w:space="0" w:color="auto"/>
              </w:divBdr>
              <w:divsChild>
                <w:div w:id="908927959">
                  <w:marLeft w:val="0"/>
                  <w:marRight w:val="0"/>
                  <w:marTop w:val="0"/>
                  <w:marBottom w:val="0"/>
                  <w:divBdr>
                    <w:top w:val="none" w:sz="0" w:space="0" w:color="auto"/>
                    <w:left w:val="none" w:sz="0" w:space="0" w:color="auto"/>
                    <w:bottom w:val="none" w:sz="0" w:space="0" w:color="auto"/>
                    <w:right w:val="none" w:sz="0" w:space="0" w:color="auto"/>
                  </w:divBdr>
                  <w:divsChild>
                    <w:div w:id="1849562363">
                      <w:marLeft w:val="0"/>
                      <w:marRight w:val="0"/>
                      <w:marTop w:val="0"/>
                      <w:marBottom w:val="0"/>
                      <w:divBdr>
                        <w:top w:val="none" w:sz="0" w:space="0" w:color="auto"/>
                        <w:left w:val="none" w:sz="0" w:space="0" w:color="auto"/>
                        <w:bottom w:val="none" w:sz="0" w:space="0" w:color="auto"/>
                        <w:right w:val="none" w:sz="0" w:space="0" w:color="auto"/>
                      </w:divBdr>
                    </w:div>
                    <w:div w:id="2072922105">
                      <w:marLeft w:val="0"/>
                      <w:marRight w:val="0"/>
                      <w:marTop w:val="0"/>
                      <w:marBottom w:val="0"/>
                      <w:divBdr>
                        <w:top w:val="none" w:sz="0" w:space="0" w:color="auto"/>
                        <w:left w:val="none" w:sz="0" w:space="0" w:color="auto"/>
                        <w:bottom w:val="none" w:sz="0" w:space="0" w:color="auto"/>
                        <w:right w:val="none" w:sz="0" w:space="0" w:color="auto"/>
                      </w:divBdr>
                    </w:div>
                  </w:divsChild>
                </w:div>
                <w:div w:id="428545709">
                  <w:marLeft w:val="0"/>
                  <w:marRight w:val="0"/>
                  <w:marTop w:val="0"/>
                  <w:marBottom w:val="0"/>
                  <w:divBdr>
                    <w:top w:val="none" w:sz="0" w:space="0" w:color="auto"/>
                    <w:left w:val="none" w:sz="0" w:space="0" w:color="auto"/>
                    <w:bottom w:val="none" w:sz="0" w:space="0" w:color="auto"/>
                    <w:right w:val="none" w:sz="0" w:space="0" w:color="auto"/>
                  </w:divBdr>
                </w:div>
              </w:divsChild>
            </w:div>
            <w:div w:id="1364939229">
              <w:marLeft w:val="0"/>
              <w:marRight w:val="0"/>
              <w:marTop w:val="0"/>
              <w:marBottom w:val="0"/>
              <w:divBdr>
                <w:top w:val="none" w:sz="0" w:space="0" w:color="auto"/>
                <w:left w:val="none" w:sz="0" w:space="0" w:color="auto"/>
                <w:bottom w:val="none" w:sz="0" w:space="0" w:color="auto"/>
                <w:right w:val="none" w:sz="0" w:space="0" w:color="auto"/>
              </w:divBdr>
              <w:divsChild>
                <w:div w:id="724374643">
                  <w:marLeft w:val="0"/>
                  <w:marRight w:val="0"/>
                  <w:marTop w:val="0"/>
                  <w:marBottom w:val="0"/>
                  <w:divBdr>
                    <w:top w:val="none" w:sz="0" w:space="0" w:color="auto"/>
                    <w:left w:val="none" w:sz="0" w:space="0" w:color="auto"/>
                    <w:bottom w:val="none" w:sz="0" w:space="0" w:color="auto"/>
                    <w:right w:val="none" w:sz="0" w:space="0" w:color="auto"/>
                  </w:divBdr>
                  <w:divsChild>
                    <w:div w:id="843740796">
                      <w:marLeft w:val="0"/>
                      <w:marRight w:val="0"/>
                      <w:marTop w:val="0"/>
                      <w:marBottom w:val="0"/>
                      <w:divBdr>
                        <w:top w:val="none" w:sz="0" w:space="0" w:color="auto"/>
                        <w:left w:val="none" w:sz="0" w:space="0" w:color="auto"/>
                        <w:bottom w:val="none" w:sz="0" w:space="0" w:color="auto"/>
                        <w:right w:val="none" w:sz="0" w:space="0" w:color="auto"/>
                      </w:divBdr>
                    </w:div>
                    <w:div w:id="352923796">
                      <w:marLeft w:val="0"/>
                      <w:marRight w:val="0"/>
                      <w:marTop w:val="0"/>
                      <w:marBottom w:val="0"/>
                      <w:divBdr>
                        <w:top w:val="none" w:sz="0" w:space="0" w:color="auto"/>
                        <w:left w:val="none" w:sz="0" w:space="0" w:color="auto"/>
                        <w:bottom w:val="none" w:sz="0" w:space="0" w:color="auto"/>
                        <w:right w:val="none" w:sz="0" w:space="0" w:color="auto"/>
                      </w:divBdr>
                    </w:div>
                  </w:divsChild>
                </w:div>
                <w:div w:id="108089955">
                  <w:marLeft w:val="0"/>
                  <w:marRight w:val="0"/>
                  <w:marTop w:val="0"/>
                  <w:marBottom w:val="0"/>
                  <w:divBdr>
                    <w:top w:val="none" w:sz="0" w:space="0" w:color="auto"/>
                    <w:left w:val="none" w:sz="0" w:space="0" w:color="auto"/>
                    <w:bottom w:val="none" w:sz="0" w:space="0" w:color="auto"/>
                    <w:right w:val="none" w:sz="0" w:space="0" w:color="auto"/>
                  </w:divBdr>
                </w:div>
              </w:divsChild>
            </w:div>
            <w:div w:id="78793911">
              <w:marLeft w:val="0"/>
              <w:marRight w:val="0"/>
              <w:marTop w:val="0"/>
              <w:marBottom w:val="0"/>
              <w:divBdr>
                <w:top w:val="none" w:sz="0" w:space="0" w:color="auto"/>
                <w:left w:val="none" w:sz="0" w:space="0" w:color="auto"/>
                <w:bottom w:val="none" w:sz="0" w:space="0" w:color="auto"/>
                <w:right w:val="none" w:sz="0" w:space="0" w:color="auto"/>
              </w:divBdr>
              <w:divsChild>
                <w:div w:id="689111100">
                  <w:marLeft w:val="0"/>
                  <w:marRight w:val="0"/>
                  <w:marTop w:val="0"/>
                  <w:marBottom w:val="0"/>
                  <w:divBdr>
                    <w:top w:val="none" w:sz="0" w:space="0" w:color="auto"/>
                    <w:left w:val="none" w:sz="0" w:space="0" w:color="auto"/>
                    <w:bottom w:val="none" w:sz="0" w:space="0" w:color="auto"/>
                    <w:right w:val="none" w:sz="0" w:space="0" w:color="auto"/>
                  </w:divBdr>
                  <w:divsChild>
                    <w:div w:id="419259108">
                      <w:marLeft w:val="0"/>
                      <w:marRight w:val="0"/>
                      <w:marTop w:val="0"/>
                      <w:marBottom w:val="0"/>
                      <w:divBdr>
                        <w:top w:val="none" w:sz="0" w:space="0" w:color="auto"/>
                        <w:left w:val="none" w:sz="0" w:space="0" w:color="auto"/>
                        <w:bottom w:val="none" w:sz="0" w:space="0" w:color="auto"/>
                        <w:right w:val="none" w:sz="0" w:space="0" w:color="auto"/>
                      </w:divBdr>
                    </w:div>
                    <w:div w:id="1693723058">
                      <w:marLeft w:val="0"/>
                      <w:marRight w:val="0"/>
                      <w:marTop w:val="0"/>
                      <w:marBottom w:val="0"/>
                      <w:divBdr>
                        <w:top w:val="none" w:sz="0" w:space="0" w:color="auto"/>
                        <w:left w:val="none" w:sz="0" w:space="0" w:color="auto"/>
                        <w:bottom w:val="none" w:sz="0" w:space="0" w:color="auto"/>
                        <w:right w:val="none" w:sz="0" w:space="0" w:color="auto"/>
                      </w:divBdr>
                    </w:div>
                  </w:divsChild>
                </w:div>
                <w:div w:id="927231341">
                  <w:marLeft w:val="0"/>
                  <w:marRight w:val="0"/>
                  <w:marTop w:val="0"/>
                  <w:marBottom w:val="0"/>
                  <w:divBdr>
                    <w:top w:val="none" w:sz="0" w:space="0" w:color="auto"/>
                    <w:left w:val="none" w:sz="0" w:space="0" w:color="auto"/>
                    <w:bottom w:val="none" w:sz="0" w:space="0" w:color="auto"/>
                    <w:right w:val="none" w:sz="0" w:space="0" w:color="auto"/>
                  </w:divBdr>
                </w:div>
              </w:divsChild>
            </w:div>
            <w:div w:id="145125012">
              <w:marLeft w:val="0"/>
              <w:marRight w:val="0"/>
              <w:marTop w:val="0"/>
              <w:marBottom w:val="0"/>
              <w:divBdr>
                <w:top w:val="none" w:sz="0" w:space="0" w:color="auto"/>
                <w:left w:val="none" w:sz="0" w:space="0" w:color="auto"/>
                <w:bottom w:val="none" w:sz="0" w:space="0" w:color="auto"/>
                <w:right w:val="none" w:sz="0" w:space="0" w:color="auto"/>
              </w:divBdr>
              <w:divsChild>
                <w:div w:id="1305501954">
                  <w:marLeft w:val="0"/>
                  <w:marRight w:val="0"/>
                  <w:marTop w:val="0"/>
                  <w:marBottom w:val="0"/>
                  <w:divBdr>
                    <w:top w:val="none" w:sz="0" w:space="0" w:color="auto"/>
                    <w:left w:val="none" w:sz="0" w:space="0" w:color="auto"/>
                    <w:bottom w:val="none" w:sz="0" w:space="0" w:color="auto"/>
                    <w:right w:val="none" w:sz="0" w:space="0" w:color="auto"/>
                  </w:divBdr>
                  <w:divsChild>
                    <w:div w:id="377585132">
                      <w:marLeft w:val="0"/>
                      <w:marRight w:val="0"/>
                      <w:marTop w:val="0"/>
                      <w:marBottom w:val="0"/>
                      <w:divBdr>
                        <w:top w:val="none" w:sz="0" w:space="0" w:color="auto"/>
                        <w:left w:val="none" w:sz="0" w:space="0" w:color="auto"/>
                        <w:bottom w:val="none" w:sz="0" w:space="0" w:color="auto"/>
                        <w:right w:val="none" w:sz="0" w:space="0" w:color="auto"/>
                      </w:divBdr>
                    </w:div>
                    <w:div w:id="1937859696">
                      <w:marLeft w:val="0"/>
                      <w:marRight w:val="0"/>
                      <w:marTop w:val="0"/>
                      <w:marBottom w:val="0"/>
                      <w:divBdr>
                        <w:top w:val="none" w:sz="0" w:space="0" w:color="auto"/>
                        <w:left w:val="none" w:sz="0" w:space="0" w:color="auto"/>
                        <w:bottom w:val="none" w:sz="0" w:space="0" w:color="auto"/>
                        <w:right w:val="none" w:sz="0" w:space="0" w:color="auto"/>
                      </w:divBdr>
                    </w:div>
                  </w:divsChild>
                </w:div>
                <w:div w:id="290481710">
                  <w:marLeft w:val="0"/>
                  <w:marRight w:val="0"/>
                  <w:marTop w:val="0"/>
                  <w:marBottom w:val="0"/>
                  <w:divBdr>
                    <w:top w:val="none" w:sz="0" w:space="0" w:color="auto"/>
                    <w:left w:val="none" w:sz="0" w:space="0" w:color="auto"/>
                    <w:bottom w:val="none" w:sz="0" w:space="0" w:color="auto"/>
                    <w:right w:val="none" w:sz="0" w:space="0" w:color="auto"/>
                  </w:divBdr>
                </w:div>
              </w:divsChild>
            </w:div>
            <w:div w:id="1656907973">
              <w:marLeft w:val="0"/>
              <w:marRight w:val="0"/>
              <w:marTop w:val="0"/>
              <w:marBottom w:val="0"/>
              <w:divBdr>
                <w:top w:val="none" w:sz="0" w:space="0" w:color="auto"/>
                <w:left w:val="none" w:sz="0" w:space="0" w:color="auto"/>
                <w:bottom w:val="none" w:sz="0" w:space="0" w:color="auto"/>
                <w:right w:val="none" w:sz="0" w:space="0" w:color="auto"/>
              </w:divBdr>
              <w:divsChild>
                <w:div w:id="1996954965">
                  <w:marLeft w:val="0"/>
                  <w:marRight w:val="0"/>
                  <w:marTop w:val="0"/>
                  <w:marBottom w:val="0"/>
                  <w:divBdr>
                    <w:top w:val="none" w:sz="0" w:space="0" w:color="auto"/>
                    <w:left w:val="none" w:sz="0" w:space="0" w:color="auto"/>
                    <w:bottom w:val="none" w:sz="0" w:space="0" w:color="auto"/>
                    <w:right w:val="none" w:sz="0" w:space="0" w:color="auto"/>
                  </w:divBdr>
                  <w:divsChild>
                    <w:div w:id="1092975619">
                      <w:marLeft w:val="0"/>
                      <w:marRight w:val="0"/>
                      <w:marTop w:val="0"/>
                      <w:marBottom w:val="0"/>
                      <w:divBdr>
                        <w:top w:val="none" w:sz="0" w:space="0" w:color="auto"/>
                        <w:left w:val="none" w:sz="0" w:space="0" w:color="auto"/>
                        <w:bottom w:val="none" w:sz="0" w:space="0" w:color="auto"/>
                        <w:right w:val="none" w:sz="0" w:space="0" w:color="auto"/>
                      </w:divBdr>
                    </w:div>
                    <w:div w:id="922304206">
                      <w:marLeft w:val="0"/>
                      <w:marRight w:val="0"/>
                      <w:marTop w:val="0"/>
                      <w:marBottom w:val="0"/>
                      <w:divBdr>
                        <w:top w:val="none" w:sz="0" w:space="0" w:color="auto"/>
                        <w:left w:val="none" w:sz="0" w:space="0" w:color="auto"/>
                        <w:bottom w:val="none" w:sz="0" w:space="0" w:color="auto"/>
                        <w:right w:val="none" w:sz="0" w:space="0" w:color="auto"/>
                      </w:divBdr>
                    </w:div>
                  </w:divsChild>
                </w:div>
                <w:div w:id="763917249">
                  <w:marLeft w:val="0"/>
                  <w:marRight w:val="0"/>
                  <w:marTop w:val="0"/>
                  <w:marBottom w:val="0"/>
                  <w:divBdr>
                    <w:top w:val="none" w:sz="0" w:space="0" w:color="auto"/>
                    <w:left w:val="none" w:sz="0" w:space="0" w:color="auto"/>
                    <w:bottom w:val="none" w:sz="0" w:space="0" w:color="auto"/>
                    <w:right w:val="none" w:sz="0" w:space="0" w:color="auto"/>
                  </w:divBdr>
                </w:div>
              </w:divsChild>
            </w:div>
            <w:div w:id="1135026587">
              <w:marLeft w:val="0"/>
              <w:marRight w:val="0"/>
              <w:marTop w:val="0"/>
              <w:marBottom w:val="0"/>
              <w:divBdr>
                <w:top w:val="none" w:sz="0" w:space="0" w:color="auto"/>
                <w:left w:val="none" w:sz="0" w:space="0" w:color="auto"/>
                <w:bottom w:val="none" w:sz="0" w:space="0" w:color="auto"/>
                <w:right w:val="none" w:sz="0" w:space="0" w:color="auto"/>
              </w:divBdr>
              <w:divsChild>
                <w:div w:id="1243564338">
                  <w:marLeft w:val="0"/>
                  <w:marRight w:val="0"/>
                  <w:marTop w:val="0"/>
                  <w:marBottom w:val="0"/>
                  <w:divBdr>
                    <w:top w:val="none" w:sz="0" w:space="0" w:color="auto"/>
                    <w:left w:val="none" w:sz="0" w:space="0" w:color="auto"/>
                    <w:bottom w:val="none" w:sz="0" w:space="0" w:color="auto"/>
                    <w:right w:val="none" w:sz="0" w:space="0" w:color="auto"/>
                  </w:divBdr>
                  <w:divsChild>
                    <w:div w:id="1945305440">
                      <w:marLeft w:val="0"/>
                      <w:marRight w:val="0"/>
                      <w:marTop w:val="0"/>
                      <w:marBottom w:val="0"/>
                      <w:divBdr>
                        <w:top w:val="none" w:sz="0" w:space="0" w:color="auto"/>
                        <w:left w:val="none" w:sz="0" w:space="0" w:color="auto"/>
                        <w:bottom w:val="none" w:sz="0" w:space="0" w:color="auto"/>
                        <w:right w:val="none" w:sz="0" w:space="0" w:color="auto"/>
                      </w:divBdr>
                    </w:div>
                    <w:div w:id="1035620386">
                      <w:marLeft w:val="0"/>
                      <w:marRight w:val="0"/>
                      <w:marTop w:val="0"/>
                      <w:marBottom w:val="0"/>
                      <w:divBdr>
                        <w:top w:val="none" w:sz="0" w:space="0" w:color="auto"/>
                        <w:left w:val="none" w:sz="0" w:space="0" w:color="auto"/>
                        <w:bottom w:val="none" w:sz="0" w:space="0" w:color="auto"/>
                        <w:right w:val="none" w:sz="0" w:space="0" w:color="auto"/>
                      </w:divBdr>
                    </w:div>
                  </w:divsChild>
                </w:div>
                <w:div w:id="1133057651">
                  <w:marLeft w:val="0"/>
                  <w:marRight w:val="0"/>
                  <w:marTop w:val="0"/>
                  <w:marBottom w:val="0"/>
                  <w:divBdr>
                    <w:top w:val="none" w:sz="0" w:space="0" w:color="auto"/>
                    <w:left w:val="none" w:sz="0" w:space="0" w:color="auto"/>
                    <w:bottom w:val="none" w:sz="0" w:space="0" w:color="auto"/>
                    <w:right w:val="none" w:sz="0" w:space="0" w:color="auto"/>
                  </w:divBdr>
                </w:div>
              </w:divsChild>
            </w:div>
            <w:div w:id="48651098">
              <w:marLeft w:val="0"/>
              <w:marRight w:val="0"/>
              <w:marTop w:val="0"/>
              <w:marBottom w:val="0"/>
              <w:divBdr>
                <w:top w:val="none" w:sz="0" w:space="0" w:color="auto"/>
                <w:left w:val="none" w:sz="0" w:space="0" w:color="auto"/>
                <w:bottom w:val="none" w:sz="0" w:space="0" w:color="auto"/>
                <w:right w:val="none" w:sz="0" w:space="0" w:color="auto"/>
              </w:divBdr>
              <w:divsChild>
                <w:div w:id="345252084">
                  <w:marLeft w:val="0"/>
                  <w:marRight w:val="0"/>
                  <w:marTop w:val="0"/>
                  <w:marBottom w:val="0"/>
                  <w:divBdr>
                    <w:top w:val="none" w:sz="0" w:space="0" w:color="auto"/>
                    <w:left w:val="none" w:sz="0" w:space="0" w:color="auto"/>
                    <w:bottom w:val="none" w:sz="0" w:space="0" w:color="auto"/>
                    <w:right w:val="none" w:sz="0" w:space="0" w:color="auto"/>
                  </w:divBdr>
                  <w:divsChild>
                    <w:div w:id="1445953252">
                      <w:marLeft w:val="0"/>
                      <w:marRight w:val="0"/>
                      <w:marTop w:val="0"/>
                      <w:marBottom w:val="0"/>
                      <w:divBdr>
                        <w:top w:val="none" w:sz="0" w:space="0" w:color="auto"/>
                        <w:left w:val="none" w:sz="0" w:space="0" w:color="auto"/>
                        <w:bottom w:val="none" w:sz="0" w:space="0" w:color="auto"/>
                        <w:right w:val="none" w:sz="0" w:space="0" w:color="auto"/>
                      </w:divBdr>
                    </w:div>
                    <w:div w:id="543063583">
                      <w:marLeft w:val="0"/>
                      <w:marRight w:val="0"/>
                      <w:marTop w:val="0"/>
                      <w:marBottom w:val="0"/>
                      <w:divBdr>
                        <w:top w:val="none" w:sz="0" w:space="0" w:color="auto"/>
                        <w:left w:val="none" w:sz="0" w:space="0" w:color="auto"/>
                        <w:bottom w:val="none" w:sz="0" w:space="0" w:color="auto"/>
                        <w:right w:val="none" w:sz="0" w:space="0" w:color="auto"/>
                      </w:divBdr>
                    </w:div>
                  </w:divsChild>
                </w:div>
                <w:div w:id="5412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78546">
      <w:bodyDiv w:val="1"/>
      <w:marLeft w:val="0"/>
      <w:marRight w:val="0"/>
      <w:marTop w:val="0"/>
      <w:marBottom w:val="0"/>
      <w:divBdr>
        <w:top w:val="none" w:sz="0" w:space="0" w:color="auto"/>
        <w:left w:val="none" w:sz="0" w:space="0" w:color="auto"/>
        <w:bottom w:val="none" w:sz="0" w:space="0" w:color="auto"/>
        <w:right w:val="none" w:sz="0" w:space="0" w:color="auto"/>
      </w:divBdr>
    </w:div>
    <w:div w:id="167425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growth/tools-databases/tris/en/search/?trisaction=search.detail&amp;year=2016&amp;num=175" TargetMode="External"/><Relationship Id="rId13" Type="http://schemas.openxmlformats.org/officeDocument/2006/relationships/hyperlink" Target="http://www.mdpi.com/2072-6651/7/5/1779" TargetMode="External"/><Relationship Id="rId18" Type="http://schemas.openxmlformats.org/officeDocument/2006/relationships/hyperlink" Target="http://www.sciencedirect.com/science/article/pii/S0378427417300620?via%3Dihu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cbi.nlm.nih.gov/pmc/articles/PMC3942760/" TargetMode="External"/><Relationship Id="rId17" Type="http://schemas.openxmlformats.org/officeDocument/2006/relationships/hyperlink" Target="http://onlinelibrary.wiley.com/doi/10.2903/j.efsa.2017.4752/abstract" TargetMode="External"/><Relationship Id="rId2" Type="http://schemas.openxmlformats.org/officeDocument/2006/relationships/numbering" Target="numbering.xml"/><Relationship Id="rId16" Type="http://schemas.openxmlformats.org/officeDocument/2006/relationships/hyperlink" Target="http://registerofquestions.efsa.europa.eu/roqFrontend/wicket/page?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ec.europa.eu/growth/tools-databases/tris/en/search/?trisaction=search.detail&amp;year=2016&amp;num=175" TargetMode="External"/><Relationship Id="rId10" Type="http://schemas.openxmlformats.org/officeDocument/2006/relationships/footer" Target="footer1.xml"/><Relationship Id="rId19" Type="http://schemas.openxmlformats.org/officeDocument/2006/relationships/hyperlink" Target="http://eur-lex.europa.eu/legal-content/EN/TXT/?uri=CELEX:32004R088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cbi.nlm.nih.gov/pubmed/1920113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4E5D3-A9CB-4AFF-AC61-5518D7A76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3281</Words>
  <Characters>18047</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GUILLAUMIE</dc:creator>
  <cp:keywords/>
  <dc:description/>
  <cp:lastModifiedBy>Bruno GUILLAUMIE</cp:lastModifiedBy>
  <cp:revision>7</cp:revision>
  <cp:lastPrinted>2018-05-03T08:57:00Z</cp:lastPrinted>
  <dcterms:created xsi:type="dcterms:W3CDTF">2018-05-18T14:49:00Z</dcterms:created>
  <dcterms:modified xsi:type="dcterms:W3CDTF">2018-05-22T10:46:00Z</dcterms:modified>
</cp:coreProperties>
</file>