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B09DC" w14:textId="77777777" w:rsidR="001F0C10" w:rsidRPr="00A076B5" w:rsidRDefault="001F0C10" w:rsidP="0088744B">
      <w:pPr>
        <w:pStyle w:val="Standard"/>
        <w:jc w:val="both"/>
        <w:rPr>
          <w:b/>
          <w:bCs/>
          <w:color w:val="595959" w:themeColor="text1" w:themeTint="A6"/>
          <w:sz w:val="24"/>
          <w:szCs w:val="24"/>
          <w:lang w:val="en-US"/>
        </w:rPr>
      </w:pPr>
      <w:bookmarkStart w:id="0" w:name="_GoBack"/>
      <w:bookmarkEnd w:id="0"/>
    </w:p>
    <w:p w14:paraId="5799293E" w14:textId="77777777" w:rsidR="00D5227D" w:rsidRPr="001F0C10" w:rsidRDefault="00D5227D" w:rsidP="001F0C10">
      <w:pPr>
        <w:pStyle w:val="Standard"/>
        <w:jc w:val="center"/>
        <w:rPr>
          <w:b/>
          <w:bCs/>
          <w:color w:val="595959" w:themeColor="text1" w:themeTint="A6"/>
          <w:sz w:val="32"/>
          <w:szCs w:val="32"/>
        </w:rPr>
      </w:pPr>
      <w:r w:rsidRPr="001F0C10">
        <w:rPr>
          <w:b/>
          <w:bCs/>
          <w:color w:val="595959" w:themeColor="text1" w:themeTint="A6"/>
          <w:sz w:val="32"/>
          <w:szCs w:val="32"/>
        </w:rPr>
        <w:t>MAC WG2 Meeting- 24 January 2018</w:t>
      </w:r>
    </w:p>
    <w:p w14:paraId="29D0088A" w14:textId="77777777" w:rsidR="003F226D" w:rsidRDefault="003F226D" w:rsidP="00D5227D">
      <w:pPr>
        <w:pStyle w:val="Standard"/>
        <w:ind w:left="720"/>
        <w:jc w:val="both"/>
        <w:rPr>
          <w:bCs/>
          <w:color w:val="595959" w:themeColor="text1" w:themeTint="A6"/>
          <w:sz w:val="24"/>
          <w:szCs w:val="24"/>
        </w:rPr>
      </w:pPr>
    </w:p>
    <w:p w14:paraId="2CE467E2" w14:textId="5A03891D" w:rsidR="00D5227D" w:rsidRPr="001F0C10" w:rsidRDefault="003F226D" w:rsidP="003F226D">
      <w:pPr>
        <w:pStyle w:val="Standard"/>
        <w:numPr>
          <w:ilvl w:val="0"/>
          <w:numId w:val="2"/>
        </w:numPr>
        <w:jc w:val="both"/>
        <w:rPr>
          <w:b/>
          <w:bCs/>
          <w:color w:val="595959" w:themeColor="text1" w:themeTint="A6"/>
          <w:sz w:val="24"/>
          <w:szCs w:val="24"/>
        </w:rPr>
      </w:pPr>
      <w:r w:rsidRPr="001F0C10">
        <w:rPr>
          <w:b/>
          <w:bCs/>
          <w:color w:val="595959" w:themeColor="text1" w:themeTint="A6"/>
          <w:sz w:val="24"/>
          <w:szCs w:val="24"/>
        </w:rPr>
        <w:t xml:space="preserve">Setting up of a </w:t>
      </w:r>
      <w:r w:rsidR="00D5227D" w:rsidRPr="001F0C10">
        <w:rPr>
          <w:b/>
          <w:bCs/>
          <w:color w:val="595959" w:themeColor="text1" w:themeTint="A6"/>
          <w:sz w:val="24"/>
          <w:szCs w:val="24"/>
        </w:rPr>
        <w:t xml:space="preserve">Task force for a joint MAC/LDAC </w:t>
      </w:r>
      <w:r w:rsidRPr="001F0C10">
        <w:rPr>
          <w:b/>
          <w:bCs/>
          <w:color w:val="595959" w:themeColor="text1" w:themeTint="A6"/>
          <w:sz w:val="24"/>
          <w:szCs w:val="24"/>
        </w:rPr>
        <w:t xml:space="preserve">advice </w:t>
      </w:r>
      <w:r w:rsidR="00D5227D" w:rsidRPr="001F0C10">
        <w:rPr>
          <w:b/>
          <w:bCs/>
          <w:color w:val="595959" w:themeColor="text1" w:themeTint="A6"/>
          <w:sz w:val="24"/>
          <w:szCs w:val="24"/>
        </w:rPr>
        <w:t>on carding process</w:t>
      </w:r>
    </w:p>
    <w:p w14:paraId="51720318" w14:textId="77777777" w:rsidR="00D5227D" w:rsidRPr="001F0C10" w:rsidRDefault="00D5227D" w:rsidP="0088744B">
      <w:pPr>
        <w:pStyle w:val="Standard"/>
        <w:jc w:val="both"/>
        <w:rPr>
          <w:b/>
          <w:bCs/>
          <w:color w:val="595959" w:themeColor="text1" w:themeTint="A6"/>
          <w:sz w:val="24"/>
          <w:szCs w:val="24"/>
        </w:rPr>
      </w:pPr>
    </w:p>
    <w:p w14:paraId="37A60C22" w14:textId="13DCD9CA" w:rsidR="00CC16DC" w:rsidRPr="00F05D51" w:rsidRDefault="001F0C10" w:rsidP="00F05D51">
      <w:pPr>
        <w:jc w:val="both"/>
        <w:rPr>
          <w:rFonts w:ascii="Calibri" w:eastAsia="SimSun" w:hAnsi="Calibri" w:cs="Times New Roman"/>
          <w:bCs/>
          <w:color w:val="595959" w:themeColor="text1" w:themeTint="A6"/>
          <w:kern w:val="3"/>
          <w:sz w:val="24"/>
          <w:szCs w:val="24"/>
          <w:lang w:eastAsia="en-GB"/>
        </w:rPr>
      </w:pPr>
      <w:r>
        <w:rPr>
          <w:rFonts w:ascii="Calibri" w:eastAsia="SimSun" w:hAnsi="Calibri" w:cs="Times New Roman"/>
          <w:bCs/>
          <w:color w:val="595959" w:themeColor="text1" w:themeTint="A6"/>
          <w:kern w:val="3"/>
          <w:sz w:val="24"/>
          <w:szCs w:val="24"/>
          <w:lang w:eastAsia="en-GB"/>
        </w:rPr>
        <w:t xml:space="preserve">Agreed recommendations and actions </w:t>
      </w:r>
      <w:r w:rsidR="00CC16DC" w:rsidRPr="00CC16DC">
        <w:rPr>
          <w:rFonts w:ascii="Calibri" w:eastAsia="SimSun" w:hAnsi="Calibri" w:cs="Times New Roman"/>
          <w:bCs/>
          <w:color w:val="595959" w:themeColor="text1" w:themeTint="A6"/>
          <w:kern w:val="3"/>
          <w:sz w:val="24"/>
          <w:szCs w:val="24"/>
          <w:lang w:eastAsia="en-GB"/>
        </w:rPr>
        <w:t>for improving industry engagement in the carding process</w:t>
      </w:r>
      <w:r w:rsidR="00CC16DC">
        <w:rPr>
          <w:rFonts w:ascii="Calibri" w:eastAsia="SimSun" w:hAnsi="Calibri" w:cs="Times New Roman"/>
          <w:bCs/>
          <w:color w:val="595959" w:themeColor="text1" w:themeTint="A6"/>
          <w:kern w:val="3"/>
          <w:sz w:val="24"/>
          <w:szCs w:val="24"/>
          <w:lang w:eastAsia="en-GB"/>
        </w:rPr>
        <w:t xml:space="preserve"> and reactions from members of the MAC:</w:t>
      </w:r>
    </w:p>
    <w:p w14:paraId="782C40A0" w14:textId="77777777" w:rsidR="0088744B" w:rsidRPr="00F55368" w:rsidRDefault="0088744B" w:rsidP="0088744B">
      <w:pPr>
        <w:pStyle w:val="Standard"/>
        <w:numPr>
          <w:ilvl w:val="0"/>
          <w:numId w:val="1"/>
        </w:numPr>
        <w:jc w:val="both"/>
        <w:rPr>
          <w:bCs/>
          <w:i/>
          <w:color w:val="595959" w:themeColor="text1" w:themeTint="A6"/>
          <w:sz w:val="24"/>
          <w:szCs w:val="24"/>
        </w:rPr>
      </w:pPr>
      <w:r w:rsidRPr="00F55368">
        <w:rPr>
          <w:bCs/>
          <w:i/>
          <w:color w:val="595959" w:themeColor="text1" w:themeTint="A6"/>
          <w:sz w:val="24"/>
          <w:szCs w:val="24"/>
        </w:rPr>
        <w:t xml:space="preserve">Establishment of ongoing dialogue between industry representatives and the European Commission on the carding process with a view to inter alia identifying opportunities for joined up action and priority areas where industry should focus their efforts in third countries. This could take place through the creation of a dedicated multi-stakeholder task force, or via existing channels. </w:t>
      </w:r>
    </w:p>
    <w:p w14:paraId="54B836E1" w14:textId="77777777" w:rsidR="0088744B" w:rsidRPr="00F55368" w:rsidRDefault="0088744B" w:rsidP="0088744B">
      <w:pPr>
        <w:pStyle w:val="Standard"/>
        <w:jc w:val="both"/>
        <w:rPr>
          <w:bCs/>
          <w:i/>
          <w:color w:val="595959" w:themeColor="text1" w:themeTint="A6"/>
          <w:sz w:val="24"/>
          <w:szCs w:val="24"/>
        </w:rPr>
      </w:pPr>
      <w:r>
        <w:rPr>
          <w:bCs/>
          <w:i/>
          <w:color w:val="595959" w:themeColor="text1" w:themeTint="A6"/>
          <w:sz w:val="24"/>
          <w:szCs w:val="24"/>
        </w:rPr>
        <w:t xml:space="preserve"> </w:t>
      </w:r>
    </w:p>
    <w:p w14:paraId="3A1E4036" w14:textId="223E1066" w:rsidR="0088744B" w:rsidRPr="00F55368" w:rsidRDefault="0088744B" w:rsidP="0088744B">
      <w:pPr>
        <w:pStyle w:val="Standard"/>
        <w:jc w:val="both"/>
        <w:rPr>
          <w:bCs/>
          <w:color w:val="595959" w:themeColor="text1" w:themeTint="A6"/>
          <w:sz w:val="24"/>
          <w:szCs w:val="24"/>
        </w:rPr>
      </w:pPr>
      <w:r w:rsidRPr="00F55368">
        <w:rPr>
          <w:bCs/>
          <w:color w:val="595959" w:themeColor="text1" w:themeTint="A6"/>
          <w:sz w:val="24"/>
          <w:szCs w:val="24"/>
        </w:rPr>
        <w:t>Members highlighted the importance of involving the sector, civil</w:t>
      </w:r>
      <w:r>
        <w:rPr>
          <w:bCs/>
          <w:color w:val="595959" w:themeColor="text1" w:themeTint="A6"/>
          <w:sz w:val="24"/>
          <w:szCs w:val="24"/>
        </w:rPr>
        <w:t xml:space="preserve"> society and scientific bodies in the carding process; the need for confidentiality in </w:t>
      </w:r>
      <w:r w:rsidR="00F05D51">
        <w:rPr>
          <w:bCs/>
          <w:color w:val="595959" w:themeColor="text1" w:themeTint="A6"/>
          <w:sz w:val="24"/>
          <w:szCs w:val="24"/>
        </w:rPr>
        <w:t>sharing commercial</w:t>
      </w:r>
      <w:r>
        <w:rPr>
          <w:bCs/>
          <w:color w:val="595959" w:themeColor="text1" w:themeTint="A6"/>
          <w:sz w:val="24"/>
          <w:szCs w:val="24"/>
        </w:rPr>
        <w:t xml:space="preserve"> information and the creation of a </w:t>
      </w:r>
      <w:r w:rsidR="00587D0A">
        <w:rPr>
          <w:bCs/>
          <w:color w:val="595959" w:themeColor="text1" w:themeTint="A6"/>
          <w:sz w:val="24"/>
          <w:szCs w:val="24"/>
        </w:rPr>
        <w:t xml:space="preserve">joint MAC / LDAC </w:t>
      </w:r>
      <w:r>
        <w:rPr>
          <w:bCs/>
          <w:color w:val="595959" w:themeColor="text1" w:themeTint="A6"/>
          <w:sz w:val="24"/>
          <w:szCs w:val="24"/>
        </w:rPr>
        <w:t>Task Force</w:t>
      </w:r>
      <w:r w:rsidR="009F3768">
        <w:rPr>
          <w:bCs/>
          <w:color w:val="595959" w:themeColor="text1" w:themeTint="A6"/>
          <w:sz w:val="24"/>
          <w:szCs w:val="24"/>
        </w:rPr>
        <w:t xml:space="preserve"> to channel this dialogue</w:t>
      </w:r>
      <w:r>
        <w:rPr>
          <w:bCs/>
          <w:color w:val="595959" w:themeColor="text1" w:themeTint="A6"/>
          <w:sz w:val="24"/>
          <w:szCs w:val="24"/>
        </w:rPr>
        <w:t>.</w:t>
      </w:r>
    </w:p>
    <w:p w14:paraId="359235BA" w14:textId="77777777" w:rsidR="0088744B" w:rsidRPr="00762BC6" w:rsidRDefault="0088744B" w:rsidP="0088744B">
      <w:pPr>
        <w:pStyle w:val="Standard"/>
        <w:jc w:val="both"/>
        <w:rPr>
          <w:bCs/>
          <w:color w:val="4F6228" w:themeColor="accent3" w:themeShade="80"/>
          <w:sz w:val="20"/>
          <w:szCs w:val="20"/>
        </w:rPr>
      </w:pPr>
    </w:p>
    <w:p w14:paraId="4523FFCE" w14:textId="77777777" w:rsidR="0088744B" w:rsidRPr="00F55368" w:rsidRDefault="0088744B" w:rsidP="0088744B">
      <w:pPr>
        <w:pStyle w:val="Standard"/>
        <w:jc w:val="both"/>
        <w:rPr>
          <w:bCs/>
          <w:i/>
          <w:color w:val="595959" w:themeColor="text1" w:themeTint="A6"/>
          <w:sz w:val="24"/>
          <w:szCs w:val="24"/>
        </w:rPr>
      </w:pPr>
    </w:p>
    <w:p w14:paraId="11195682" w14:textId="77777777" w:rsidR="0088744B" w:rsidRDefault="0088744B" w:rsidP="0088744B">
      <w:pPr>
        <w:pStyle w:val="Standard"/>
        <w:numPr>
          <w:ilvl w:val="0"/>
          <w:numId w:val="1"/>
        </w:numPr>
        <w:jc w:val="both"/>
        <w:rPr>
          <w:bCs/>
          <w:i/>
          <w:color w:val="595959" w:themeColor="text1" w:themeTint="A6"/>
          <w:sz w:val="24"/>
          <w:szCs w:val="24"/>
        </w:rPr>
      </w:pPr>
      <w:r w:rsidRPr="00F55368">
        <w:rPr>
          <w:bCs/>
          <w:i/>
          <w:color w:val="595959" w:themeColor="text1" w:themeTint="A6"/>
          <w:sz w:val="24"/>
          <w:szCs w:val="24"/>
        </w:rPr>
        <w:t xml:space="preserve">Establishment of a procedure or mechanism for ensuring that local industry partners are provided with accurate information on concerns raised by the Commission under the carding process, based on which they can take action in-country. Likewise, establish necessary mechanisms for the feeding back of information from local partners to the Commission. </w:t>
      </w:r>
    </w:p>
    <w:p w14:paraId="14187672" w14:textId="77777777" w:rsidR="0088744B" w:rsidRDefault="0088744B" w:rsidP="0088744B">
      <w:pPr>
        <w:pStyle w:val="Standard"/>
        <w:jc w:val="both"/>
        <w:rPr>
          <w:bCs/>
          <w:i/>
          <w:color w:val="595959" w:themeColor="text1" w:themeTint="A6"/>
          <w:sz w:val="24"/>
          <w:szCs w:val="24"/>
        </w:rPr>
      </w:pPr>
    </w:p>
    <w:p w14:paraId="0984B641" w14:textId="719084C0" w:rsidR="0088744B" w:rsidRPr="00895C27" w:rsidRDefault="0088744B" w:rsidP="0088744B">
      <w:pPr>
        <w:pStyle w:val="Standard"/>
        <w:jc w:val="both"/>
        <w:rPr>
          <w:bCs/>
          <w:color w:val="595959" w:themeColor="text1" w:themeTint="A6"/>
          <w:sz w:val="24"/>
          <w:szCs w:val="24"/>
        </w:rPr>
      </w:pPr>
      <w:r w:rsidRPr="00895C27">
        <w:rPr>
          <w:bCs/>
          <w:color w:val="595959" w:themeColor="text1" w:themeTint="A6"/>
          <w:sz w:val="24"/>
          <w:szCs w:val="24"/>
        </w:rPr>
        <w:t xml:space="preserve">Once the carding takes place, all </w:t>
      </w:r>
      <w:r w:rsidR="004F179C">
        <w:rPr>
          <w:bCs/>
          <w:color w:val="595959" w:themeColor="text1" w:themeTint="A6"/>
          <w:sz w:val="24"/>
          <w:szCs w:val="24"/>
        </w:rPr>
        <w:t>non-</w:t>
      </w:r>
      <w:r w:rsidR="00587D0A">
        <w:rPr>
          <w:bCs/>
          <w:color w:val="595959" w:themeColor="text1" w:themeTint="A6"/>
          <w:sz w:val="24"/>
          <w:szCs w:val="24"/>
        </w:rPr>
        <w:t xml:space="preserve">commercially </w:t>
      </w:r>
      <w:r w:rsidR="004F179C">
        <w:rPr>
          <w:bCs/>
          <w:color w:val="595959" w:themeColor="text1" w:themeTint="A6"/>
          <w:sz w:val="24"/>
          <w:szCs w:val="24"/>
        </w:rPr>
        <w:t>sensitive</w:t>
      </w:r>
      <w:r w:rsidR="00587D0A">
        <w:rPr>
          <w:bCs/>
          <w:color w:val="595959" w:themeColor="text1" w:themeTint="A6"/>
          <w:sz w:val="24"/>
          <w:szCs w:val="24"/>
        </w:rPr>
        <w:t xml:space="preserve"> or data protected</w:t>
      </w:r>
      <w:r w:rsidR="004F179C">
        <w:rPr>
          <w:bCs/>
          <w:color w:val="595959" w:themeColor="text1" w:themeTint="A6"/>
          <w:sz w:val="24"/>
          <w:szCs w:val="24"/>
        </w:rPr>
        <w:t xml:space="preserve"> </w:t>
      </w:r>
      <w:r w:rsidRPr="00895C27">
        <w:rPr>
          <w:bCs/>
          <w:color w:val="595959" w:themeColor="text1" w:themeTint="A6"/>
          <w:sz w:val="24"/>
          <w:szCs w:val="24"/>
        </w:rPr>
        <w:t xml:space="preserve">information </w:t>
      </w:r>
      <w:r w:rsidR="004F179C">
        <w:rPr>
          <w:bCs/>
          <w:color w:val="595959" w:themeColor="text1" w:themeTint="A6"/>
          <w:sz w:val="24"/>
          <w:szCs w:val="24"/>
        </w:rPr>
        <w:t>should be made publicly</w:t>
      </w:r>
      <w:r w:rsidRPr="00895C27">
        <w:rPr>
          <w:bCs/>
          <w:color w:val="595959" w:themeColor="text1" w:themeTint="A6"/>
          <w:sz w:val="24"/>
          <w:szCs w:val="24"/>
        </w:rPr>
        <w:t xml:space="preserve"> available </w:t>
      </w:r>
      <w:r w:rsidR="004F179C">
        <w:rPr>
          <w:bCs/>
          <w:color w:val="595959" w:themeColor="text1" w:themeTint="A6"/>
          <w:sz w:val="24"/>
          <w:szCs w:val="24"/>
        </w:rPr>
        <w:t xml:space="preserve">to fisheries stakeholders </w:t>
      </w:r>
      <w:r w:rsidRPr="00895C27">
        <w:rPr>
          <w:bCs/>
          <w:color w:val="595959" w:themeColor="text1" w:themeTint="A6"/>
          <w:sz w:val="24"/>
          <w:szCs w:val="24"/>
        </w:rPr>
        <w:t xml:space="preserve">including </w:t>
      </w:r>
      <w:r w:rsidR="004F179C">
        <w:rPr>
          <w:bCs/>
          <w:color w:val="595959" w:themeColor="text1" w:themeTint="A6"/>
          <w:sz w:val="24"/>
          <w:szCs w:val="24"/>
        </w:rPr>
        <w:t xml:space="preserve">amongst others the </w:t>
      </w:r>
      <w:r w:rsidR="00587D0A">
        <w:rPr>
          <w:bCs/>
          <w:color w:val="595959" w:themeColor="text1" w:themeTint="A6"/>
          <w:sz w:val="24"/>
          <w:szCs w:val="24"/>
        </w:rPr>
        <w:t>“</w:t>
      </w:r>
      <w:r w:rsidR="004F179C">
        <w:rPr>
          <w:bCs/>
          <w:color w:val="595959" w:themeColor="text1" w:themeTint="A6"/>
          <w:sz w:val="24"/>
          <w:szCs w:val="24"/>
        </w:rPr>
        <w:t>ex ante</w:t>
      </w:r>
      <w:r w:rsidR="00587D0A">
        <w:rPr>
          <w:bCs/>
          <w:color w:val="595959" w:themeColor="text1" w:themeTint="A6"/>
          <w:sz w:val="24"/>
          <w:szCs w:val="24"/>
        </w:rPr>
        <w:t>”</w:t>
      </w:r>
      <w:r w:rsidR="004F179C">
        <w:rPr>
          <w:bCs/>
          <w:color w:val="595959" w:themeColor="text1" w:themeTint="A6"/>
          <w:sz w:val="24"/>
          <w:szCs w:val="24"/>
        </w:rPr>
        <w:t xml:space="preserve"> reports, </w:t>
      </w:r>
      <w:r w:rsidRPr="00895C27">
        <w:rPr>
          <w:bCs/>
          <w:color w:val="595959" w:themeColor="text1" w:themeTint="A6"/>
          <w:sz w:val="24"/>
          <w:szCs w:val="24"/>
        </w:rPr>
        <w:t>the</w:t>
      </w:r>
      <w:r w:rsidR="00587D0A">
        <w:rPr>
          <w:bCs/>
          <w:color w:val="595959" w:themeColor="text1" w:themeTint="A6"/>
          <w:sz w:val="24"/>
          <w:szCs w:val="24"/>
        </w:rPr>
        <w:t xml:space="preserve"> elements analysed,</w:t>
      </w:r>
      <w:r w:rsidR="004F179C">
        <w:rPr>
          <w:bCs/>
          <w:color w:val="595959" w:themeColor="text1" w:themeTint="A6"/>
          <w:sz w:val="24"/>
          <w:szCs w:val="24"/>
        </w:rPr>
        <w:t xml:space="preserve"> objectives</w:t>
      </w:r>
      <w:r w:rsidR="00587D0A">
        <w:rPr>
          <w:bCs/>
          <w:color w:val="595959" w:themeColor="text1" w:themeTint="A6"/>
          <w:sz w:val="24"/>
          <w:szCs w:val="24"/>
        </w:rPr>
        <w:t xml:space="preserve"> and implementation plan</w:t>
      </w:r>
      <w:r w:rsidR="004F179C">
        <w:rPr>
          <w:bCs/>
          <w:color w:val="595959" w:themeColor="text1" w:themeTint="A6"/>
          <w:sz w:val="24"/>
          <w:szCs w:val="24"/>
        </w:rPr>
        <w:t>,</w:t>
      </w:r>
      <w:r w:rsidRPr="00895C27">
        <w:rPr>
          <w:bCs/>
          <w:color w:val="595959" w:themeColor="text1" w:themeTint="A6"/>
          <w:sz w:val="24"/>
          <w:szCs w:val="24"/>
        </w:rPr>
        <w:t xml:space="preserve"> </w:t>
      </w:r>
      <w:r w:rsidR="00587D0A">
        <w:rPr>
          <w:bCs/>
          <w:color w:val="595959" w:themeColor="text1" w:themeTint="A6"/>
          <w:sz w:val="24"/>
          <w:szCs w:val="24"/>
        </w:rPr>
        <w:t>ri</w:t>
      </w:r>
      <w:r w:rsidR="004F179C">
        <w:rPr>
          <w:bCs/>
          <w:color w:val="595959" w:themeColor="text1" w:themeTint="A6"/>
          <w:sz w:val="24"/>
          <w:szCs w:val="24"/>
        </w:rPr>
        <w:t>s</w:t>
      </w:r>
      <w:r w:rsidR="00587D0A">
        <w:rPr>
          <w:bCs/>
          <w:color w:val="595959" w:themeColor="text1" w:themeTint="A6"/>
          <w:sz w:val="24"/>
          <w:szCs w:val="24"/>
        </w:rPr>
        <w:t>k</w:t>
      </w:r>
      <w:r w:rsidR="004F179C">
        <w:rPr>
          <w:bCs/>
          <w:color w:val="595959" w:themeColor="text1" w:themeTint="A6"/>
          <w:sz w:val="24"/>
          <w:szCs w:val="24"/>
        </w:rPr>
        <w:t xml:space="preserve"> based </w:t>
      </w:r>
      <w:r w:rsidR="00587D0A">
        <w:rPr>
          <w:bCs/>
          <w:color w:val="595959" w:themeColor="text1" w:themeTint="A6"/>
          <w:sz w:val="24"/>
          <w:szCs w:val="24"/>
        </w:rPr>
        <w:t xml:space="preserve">strategies, and </w:t>
      </w:r>
      <w:r w:rsidRPr="00895C27">
        <w:rPr>
          <w:bCs/>
          <w:color w:val="595959" w:themeColor="text1" w:themeTint="A6"/>
          <w:sz w:val="24"/>
          <w:szCs w:val="24"/>
        </w:rPr>
        <w:t xml:space="preserve">rationale </w:t>
      </w:r>
      <w:r w:rsidR="00587D0A">
        <w:rPr>
          <w:bCs/>
          <w:color w:val="595959" w:themeColor="text1" w:themeTint="A6"/>
          <w:sz w:val="24"/>
          <w:szCs w:val="24"/>
        </w:rPr>
        <w:t>underlying</w:t>
      </w:r>
      <w:r w:rsidRPr="00895C27">
        <w:rPr>
          <w:bCs/>
          <w:color w:val="595959" w:themeColor="text1" w:themeTint="A6"/>
          <w:sz w:val="24"/>
          <w:szCs w:val="24"/>
        </w:rPr>
        <w:t xml:space="preserve"> the carding</w:t>
      </w:r>
      <w:r w:rsidR="00587D0A">
        <w:rPr>
          <w:bCs/>
          <w:color w:val="595959" w:themeColor="text1" w:themeTint="A6"/>
          <w:sz w:val="24"/>
          <w:szCs w:val="24"/>
        </w:rPr>
        <w:t xml:space="preserve"> process</w:t>
      </w:r>
      <w:r w:rsidRPr="00895C27">
        <w:rPr>
          <w:bCs/>
          <w:color w:val="595959" w:themeColor="text1" w:themeTint="A6"/>
          <w:sz w:val="24"/>
          <w:szCs w:val="24"/>
        </w:rPr>
        <w:t xml:space="preserve">. </w:t>
      </w:r>
    </w:p>
    <w:p w14:paraId="43508FFD" w14:textId="77777777" w:rsidR="0088744B" w:rsidRDefault="0088744B" w:rsidP="0088744B">
      <w:pPr>
        <w:pStyle w:val="Standard"/>
        <w:jc w:val="both"/>
        <w:rPr>
          <w:bCs/>
          <w:color w:val="4F6228" w:themeColor="accent3" w:themeShade="80"/>
          <w:sz w:val="20"/>
          <w:szCs w:val="20"/>
        </w:rPr>
      </w:pPr>
    </w:p>
    <w:p w14:paraId="649579E7" w14:textId="77777777" w:rsidR="0088744B" w:rsidRPr="00895C27" w:rsidRDefault="0088744B" w:rsidP="0088744B">
      <w:pPr>
        <w:pStyle w:val="Standard"/>
        <w:jc w:val="both"/>
        <w:rPr>
          <w:bCs/>
          <w:i/>
          <w:color w:val="595959" w:themeColor="text1" w:themeTint="A6"/>
          <w:sz w:val="24"/>
          <w:szCs w:val="24"/>
        </w:rPr>
      </w:pPr>
    </w:p>
    <w:p w14:paraId="5572742D" w14:textId="77777777" w:rsidR="0088744B" w:rsidRPr="00895C27" w:rsidRDefault="0088744B" w:rsidP="0088744B">
      <w:pPr>
        <w:pStyle w:val="Standard"/>
        <w:numPr>
          <w:ilvl w:val="0"/>
          <w:numId w:val="1"/>
        </w:numPr>
        <w:jc w:val="both"/>
        <w:rPr>
          <w:bCs/>
          <w:i/>
          <w:color w:val="595959" w:themeColor="text1" w:themeTint="A6"/>
          <w:sz w:val="24"/>
          <w:szCs w:val="24"/>
        </w:rPr>
      </w:pPr>
      <w:r w:rsidRPr="00895C27">
        <w:rPr>
          <w:bCs/>
          <w:i/>
          <w:color w:val="595959" w:themeColor="text1" w:themeTint="A6"/>
          <w:sz w:val="24"/>
          <w:szCs w:val="24"/>
        </w:rPr>
        <w:t xml:space="preserve">Creation of an online database broadly accessible to all EU businesses, managed by the Commission, where all companies are given the opportunity to supply information confidentially on where they operate. This would provide the Commission with relevant information to engage with business operators at the earliest possible stage regarding the status of a country’s compliance with international requirements. </w:t>
      </w:r>
    </w:p>
    <w:p w14:paraId="22DFB359" w14:textId="77777777" w:rsidR="0088744B" w:rsidRDefault="0088744B" w:rsidP="0088744B">
      <w:pPr>
        <w:pStyle w:val="Standard"/>
        <w:jc w:val="both"/>
        <w:rPr>
          <w:bCs/>
          <w:color w:val="4F6228" w:themeColor="accent3" w:themeShade="80"/>
          <w:sz w:val="20"/>
          <w:szCs w:val="20"/>
        </w:rPr>
      </w:pPr>
    </w:p>
    <w:p w14:paraId="7AF01E5E" w14:textId="3A0B37BC" w:rsidR="0088744B" w:rsidRPr="006F1E8C" w:rsidRDefault="0088744B" w:rsidP="0088744B">
      <w:pPr>
        <w:pStyle w:val="Standard"/>
        <w:jc w:val="both"/>
        <w:rPr>
          <w:bCs/>
          <w:color w:val="595959" w:themeColor="text1" w:themeTint="A6"/>
          <w:sz w:val="24"/>
          <w:szCs w:val="24"/>
        </w:rPr>
      </w:pPr>
      <w:r w:rsidRPr="00895C27">
        <w:rPr>
          <w:bCs/>
          <w:color w:val="595959" w:themeColor="text1" w:themeTint="A6"/>
          <w:sz w:val="24"/>
          <w:szCs w:val="24"/>
        </w:rPr>
        <w:t xml:space="preserve">The </w:t>
      </w:r>
      <w:r w:rsidR="00587D0A">
        <w:rPr>
          <w:bCs/>
          <w:color w:val="595959" w:themeColor="text1" w:themeTint="A6"/>
          <w:sz w:val="24"/>
          <w:szCs w:val="24"/>
        </w:rPr>
        <w:t xml:space="preserve">EU </w:t>
      </w:r>
      <w:r w:rsidRPr="00895C27">
        <w:rPr>
          <w:bCs/>
          <w:color w:val="595959" w:themeColor="text1" w:themeTint="A6"/>
          <w:sz w:val="24"/>
          <w:szCs w:val="24"/>
        </w:rPr>
        <w:t>database</w:t>
      </w:r>
      <w:r w:rsidR="00587D0A">
        <w:rPr>
          <w:bCs/>
          <w:color w:val="595959" w:themeColor="text1" w:themeTint="A6"/>
          <w:sz w:val="24"/>
          <w:szCs w:val="24"/>
        </w:rPr>
        <w:t xml:space="preserve"> </w:t>
      </w:r>
      <w:r w:rsidRPr="00895C27">
        <w:rPr>
          <w:bCs/>
          <w:color w:val="595959" w:themeColor="text1" w:themeTint="A6"/>
          <w:sz w:val="24"/>
          <w:szCs w:val="24"/>
        </w:rPr>
        <w:t xml:space="preserve">would cover information from </w:t>
      </w:r>
      <w:r>
        <w:rPr>
          <w:bCs/>
          <w:color w:val="595959" w:themeColor="text1" w:themeTint="A6"/>
          <w:sz w:val="24"/>
          <w:szCs w:val="24"/>
        </w:rPr>
        <w:t>sector organisations</w:t>
      </w:r>
      <w:r w:rsidRPr="00895C27">
        <w:rPr>
          <w:bCs/>
          <w:color w:val="595959" w:themeColor="text1" w:themeTint="A6"/>
          <w:sz w:val="24"/>
          <w:szCs w:val="24"/>
        </w:rPr>
        <w:t xml:space="preserve"> involved in a particular country on how they operate</w:t>
      </w:r>
      <w:r>
        <w:rPr>
          <w:bCs/>
          <w:color w:val="595959" w:themeColor="text1" w:themeTint="A6"/>
          <w:sz w:val="24"/>
          <w:szCs w:val="24"/>
        </w:rPr>
        <w:t xml:space="preserve"> there.</w:t>
      </w:r>
      <w:r w:rsidRPr="00895C27">
        <w:rPr>
          <w:bCs/>
          <w:color w:val="595959" w:themeColor="text1" w:themeTint="A6"/>
          <w:sz w:val="24"/>
          <w:szCs w:val="24"/>
        </w:rPr>
        <w:t xml:space="preserve"> </w:t>
      </w:r>
      <w:r w:rsidRPr="00F62208">
        <w:rPr>
          <w:bCs/>
          <w:color w:val="595959" w:themeColor="text1" w:themeTint="A6"/>
          <w:sz w:val="24"/>
          <w:szCs w:val="24"/>
        </w:rPr>
        <w:t xml:space="preserve">This database could be linked to the one foreseen in the </w:t>
      </w:r>
      <w:r>
        <w:rPr>
          <w:bCs/>
          <w:color w:val="595959" w:themeColor="text1" w:themeTint="A6"/>
          <w:sz w:val="24"/>
          <w:szCs w:val="24"/>
        </w:rPr>
        <w:t xml:space="preserve">Regulation on the sustainable management of external fishing fleets </w:t>
      </w:r>
      <w:r w:rsidRPr="00F62208">
        <w:rPr>
          <w:bCs/>
          <w:color w:val="595959" w:themeColor="text1" w:themeTint="A6"/>
          <w:sz w:val="24"/>
          <w:szCs w:val="24"/>
        </w:rPr>
        <w:t>(</w:t>
      </w:r>
      <w:r>
        <w:rPr>
          <w:bCs/>
          <w:color w:val="595959" w:themeColor="text1" w:themeTint="A6"/>
          <w:sz w:val="24"/>
          <w:szCs w:val="24"/>
        </w:rPr>
        <w:t>2017/2403</w:t>
      </w:r>
      <w:r w:rsidRPr="00F62208">
        <w:rPr>
          <w:bCs/>
          <w:color w:val="595959" w:themeColor="text1" w:themeTint="A6"/>
          <w:sz w:val="24"/>
          <w:szCs w:val="24"/>
        </w:rPr>
        <w:t>)</w:t>
      </w:r>
      <w:r>
        <w:rPr>
          <w:bCs/>
          <w:color w:val="595959" w:themeColor="text1" w:themeTint="A6"/>
          <w:sz w:val="24"/>
          <w:szCs w:val="24"/>
        </w:rPr>
        <w:t>.</w:t>
      </w:r>
    </w:p>
    <w:p w14:paraId="68C9EF76" w14:textId="77777777" w:rsidR="0088744B" w:rsidRPr="00F62208" w:rsidRDefault="0088744B" w:rsidP="0088744B">
      <w:pPr>
        <w:pStyle w:val="Standard"/>
        <w:jc w:val="both"/>
        <w:rPr>
          <w:bCs/>
          <w:i/>
          <w:color w:val="595959" w:themeColor="text1" w:themeTint="A6"/>
          <w:sz w:val="24"/>
          <w:szCs w:val="24"/>
        </w:rPr>
      </w:pPr>
    </w:p>
    <w:p w14:paraId="293F26E9" w14:textId="77777777" w:rsidR="0088744B" w:rsidRPr="00915DD2" w:rsidRDefault="0088744B" w:rsidP="0088744B">
      <w:pPr>
        <w:pStyle w:val="Standard"/>
        <w:jc w:val="both"/>
      </w:pPr>
    </w:p>
    <w:p w14:paraId="76C48FC8" w14:textId="77777777" w:rsidR="0088744B" w:rsidRPr="00915DD2" w:rsidRDefault="0088744B" w:rsidP="0088744B">
      <w:pPr>
        <w:pStyle w:val="Standard"/>
        <w:numPr>
          <w:ilvl w:val="0"/>
          <w:numId w:val="1"/>
        </w:numPr>
        <w:jc w:val="both"/>
        <w:rPr>
          <w:bCs/>
          <w:i/>
          <w:color w:val="595959" w:themeColor="text1" w:themeTint="A6"/>
          <w:sz w:val="24"/>
          <w:szCs w:val="24"/>
        </w:rPr>
      </w:pPr>
      <w:r w:rsidRPr="00915DD2">
        <w:rPr>
          <w:bCs/>
          <w:i/>
          <w:color w:val="595959" w:themeColor="text1" w:themeTint="A6"/>
          <w:sz w:val="24"/>
          <w:szCs w:val="24"/>
        </w:rPr>
        <w:lastRenderedPageBreak/>
        <w:t xml:space="preserve">Provision of detailed case studies by the Commission on countries that have been yellow, red and green carded, in order to provide greater clarity on the key tipping points that have led to carding decisions so far. </w:t>
      </w:r>
    </w:p>
    <w:p w14:paraId="6DCCF55F" w14:textId="77777777" w:rsidR="0088744B" w:rsidRDefault="0088744B" w:rsidP="0088744B">
      <w:pPr>
        <w:pStyle w:val="Standard"/>
        <w:jc w:val="both"/>
      </w:pPr>
    </w:p>
    <w:p w14:paraId="6AEE3851" w14:textId="77777777" w:rsidR="0088744B" w:rsidRPr="00912155" w:rsidRDefault="0088744B" w:rsidP="0088744B">
      <w:pPr>
        <w:pStyle w:val="Standard"/>
        <w:jc w:val="both"/>
        <w:rPr>
          <w:bCs/>
          <w:color w:val="595959" w:themeColor="text1" w:themeTint="A6"/>
          <w:sz w:val="24"/>
          <w:szCs w:val="24"/>
        </w:rPr>
      </w:pPr>
      <w:r w:rsidRPr="00912155">
        <w:rPr>
          <w:bCs/>
          <w:color w:val="595959" w:themeColor="text1" w:themeTint="A6"/>
          <w:sz w:val="24"/>
          <w:szCs w:val="24"/>
        </w:rPr>
        <w:t xml:space="preserve">Members agreed with this initiative. </w:t>
      </w:r>
    </w:p>
    <w:p w14:paraId="4FF3708A" w14:textId="77777777" w:rsidR="0088744B" w:rsidRPr="00912155" w:rsidRDefault="0088744B" w:rsidP="0088744B">
      <w:pPr>
        <w:pStyle w:val="Standard"/>
        <w:jc w:val="both"/>
        <w:rPr>
          <w:bCs/>
          <w:i/>
          <w:color w:val="595959" w:themeColor="text1" w:themeTint="A6"/>
          <w:sz w:val="24"/>
          <w:szCs w:val="24"/>
        </w:rPr>
      </w:pPr>
    </w:p>
    <w:p w14:paraId="49313460" w14:textId="77777777" w:rsidR="0088744B" w:rsidRPr="00912155" w:rsidRDefault="0088744B" w:rsidP="0088744B">
      <w:pPr>
        <w:pStyle w:val="Standard"/>
        <w:numPr>
          <w:ilvl w:val="0"/>
          <w:numId w:val="1"/>
        </w:numPr>
        <w:jc w:val="both"/>
        <w:rPr>
          <w:bCs/>
          <w:i/>
          <w:color w:val="595959" w:themeColor="text1" w:themeTint="A6"/>
          <w:sz w:val="24"/>
          <w:szCs w:val="24"/>
        </w:rPr>
      </w:pPr>
      <w:r w:rsidRPr="00912155">
        <w:rPr>
          <w:bCs/>
          <w:i/>
          <w:color w:val="595959" w:themeColor="text1" w:themeTint="A6"/>
          <w:sz w:val="24"/>
          <w:szCs w:val="24"/>
        </w:rPr>
        <w:t xml:space="preserve">Provision of information to industry on the products that have been rejected at EU borders and from where they originated, to allow for real-time information on countries that may be failing to </w:t>
      </w:r>
      <w:r>
        <w:rPr>
          <w:bCs/>
          <w:i/>
          <w:color w:val="595959" w:themeColor="text1" w:themeTint="A6"/>
          <w:sz w:val="24"/>
          <w:szCs w:val="24"/>
        </w:rPr>
        <w:t>effectively address IUU fishing.</w:t>
      </w:r>
    </w:p>
    <w:p w14:paraId="7FB32355" w14:textId="77777777" w:rsidR="0088744B" w:rsidRDefault="0088744B" w:rsidP="0088744B">
      <w:pPr>
        <w:pStyle w:val="Standard"/>
        <w:jc w:val="both"/>
      </w:pPr>
    </w:p>
    <w:p w14:paraId="165F79A1" w14:textId="755BD39B" w:rsidR="0088744B" w:rsidRPr="0083715A" w:rsidRDefault="0088744B" w:rsidP="0088744B">
      <w:pPr>
        <w:pStyle w:val="Standard"/>
        <w:jc w:val="both"/>
        <w:rPr>
          <w:bCs/>
          <w:color w:val="595959" w:themeColor="text1" w:themeTint="A6"/>
          <w:sz w:val="24"/>
          <w:szCs w:val="24"/>
        </w:rPr>
      </w:pPr>
      <w:r w:rsidRPr="0083715A">
        <w:rPr>
          <w:bCs/>
          <w:color w:val="595959" w:themeColor="text1" w:themeTint="A6"/>
          <w:sz w:val="24"/>
          <w:szCs w:val="24"/>
        </w:rPr>
        <w:t xml:space="preserve">By </w:t>
      </w:r>
      <w:r>
        <w:rPr>
          <w:bCs/>
          <w:color w:val="595959" w:themeColor="text1" w:themeTint="A6"/>
          <w:sz w:val="24"/>
          <w:szCs w:val="24"/>
        </w:rPr>
        <w:t>disclosin</w:t>
      </w:r>
      <w:r w:rsidRPr="0083715A">
        <w:rPr>
          <w:bCs/>
          <w:color w:val="595959" w:themeColor="text1" w:themeTint="A6"/>
          <w:sz w:val="24"/>
          <w:szCs w:val="24"/>
        </w:rPr>
        <w:t>g both the rejections and the reasons for them, companies would be more reluctant to buy from a specific</w:t>
      </w:r>
      <w:r w:rsidR="009F3768">
        <w:rPr>
          <w:bCs/>
          <w:color w:val="595959" w:themeColor="text1" w:themeTint="A6"/>
          <w:sz w:val="24"/>
          <w:szCs w:val="24"/>
        </w:rPr>
        <w:t xml:space="preserve"> supplier/</w:t>
      </w:r>
      <w:r w:rsidRPr="0083715A">
        <w:rPr>
          <w:bCs/>
          <w:color w:val="595959" w:themeColor="text1" w:themeTint="A6"/>
          <w:sz w:val="24"/>
          <w:szCs w:val="24"/>
        </w:rPr>
        <w:t>factory</w:t>
      </w:r>
      <w:r>
        <w:rPr>
          <w:bCs/>
          <w:color w:val="595959" w:themeColor="text1" w:themeTint="A6"/>
          <w:sz w:val="24"/>
          <w:szCs w:val="24"/>
        </w:rPr>
        <w:t xml:space="preserve"> that does not comply with rules in terms of IUU</w:t>
      </w:r>
      <w:r w:rsidRPr="0083715A">
        <w:rPr>
          <w:bCs/>
          <w:color w:val="595959" w:themeColor="text1" w:themeTint="A6"/>
          <w:sz w:val="24"/>
          <w:szCs w:val="24"/>
        </w:rPr>
        <w:t>. There is an inherent difficulty in implementing this sugge</w:t>
      </w:r>
      <w:r>
        <w:rPr>
          <w:bCs/>
          <w:color w:val="595959" w:themeColor="text1" w:themeTint="A6"/>
          <w:sz w:val="24"/>
          <w:szCs w:val="24"/>
        </w:rPr>
        <w:t>sted action</w:t>
      </w:r>
      <w:r w:rsidRPr="0083715A">
        <w:rPr>
          <w:bCs/>
          <w:color w:val="595959" w:themeColor="text1" w:themeTint="A6"/>
          <w:sz w:val="24"/>
          <w:szCs w:val="24"/>
        </w:rPr>
        <w:t xml:space="preserve"> given that the only information available regarding a country penalised under the carding system is the </w:t>
      </w:r>
      <w:r w:rsidR="009F3768">
        <w:rPr>
          <w:bCs/>
          <w:color w:val="595959" w:themeColor="text1" w:themeTint="A6"/>
          <w:sz w:val="24"/>
          <w:szCs w:val="24"/>
        </w:rPr>
        <w:t xml:space="preserve">legal, administrative and operational constraints of the </w:t>
      </w:r>
      <w:r w:rsidRPr="0083715A">
        <w:rPr>
          <w:bCs/>
          <w:color w:val="595959" w:themeColor="text1" w:themeTint="A6"/>
          <w:sz w:val="24"/>
          <w:szCs w:val="24"/>
        </w:rPr>
        <w:t>country itself, not the companies operating in that country. Consistency in implementation across MS would help, as well as sharing information on what</w:t>
      </w:r>
      <w:r>
        <w:rPr>
          <w:bCs/>
          <w:color w:val="595959" w:themeColor="text1" w:themeTint="A6"/>
          <w:sz w:val="24"/>
          <w:szCs w:val="24"/>
        </w:rPr>
        <w:t xml:space="preserve"> national</w:t>
      </w:r>
      <w:r w:rsidRPr="0083715A">
        <w:rPr>
          <w:bCs/>
          <w:color w:val="595959" w:themeColor="text1" w:themeTint="A6"/>
          <w:sz w:val="24"/>
          <w:szCs w:val="24"/>
        </w:rPr>
        <w:t xml:space="preserve"> authorities do.</w:t>
      </w:r>
    </w:p>
    <w:p w14:paraId="67C9D1CE" w14:textId="77777777" w:rsidR="0088744B" w:rsidRPr="0083715A" w:rsidRDefault="0088744B" w:rsidP="0088744B">
      <w:pPr>
        <w:pStyle w:val="Standard"/>
        <w:jc w:val="both"/>
        <w:rPr>
          <w:bCs/>
          <w:i/>
          <w:color w:val="595959" w:themeColor="text1" w:themeTint="A6"/>
          <w:sz w:val="24"/>
          <w:szCs w:val="24"/>
        </w:rPr>
      </w:pPr>
    </w:p>
    <w:p w14:paraId="4482AE24" w14:textId="77777777" w:rsidR="0088744B" w:rsidRPr="0083715A" w:rsidRDefault="0088744B" w:rsidP="0088744B">
      <w:pPr>
        <w:pStyle w:val="Standard"/>
        <w:numPr>
          <w:ilvl w:val="0"/>
          <w:numId w:val="1"/>
        </w:numPr>
        <w:jc w:val="both"/>
        <w:rPr>
          <w:bCs/>
          <w:i/>
          <w:color w:val="595959" w:themeColor="text1" w:themeTint="A6"/>
          <w:sz w:val="24"/>
          <w:szCs w:val="24"/>
        </w:rPr>
      </w:pPr>
      <w:r w:rsidRPr="0083715A">
        <w:rPr>
          <w:bCs/>
          <w:i/>
          <w:color w:val="595959" w:themeColor="text1" w:themeTint="A6"/>
          <w:sz w:val="24"/>
          <w:szCs w:val="24"/>
        </w:rPr>
        <w:t xml:space="preserve">Increased transparency around the flag State notification process under Article 20 of the EU IUU Regulation. Specifically, the sharing of information by the Commission on the commitments made by third countries under this process, and how responsibility for addressing the various aspects of IUU fishing is divided between competent authorities. </w:t>
      </w:r>
    </w:p>
    <w:p w14:paraId="645F80E7" w14:textId="77777777" w:rsidR="0088744B" w:rsidRDefault="0088744B" w:rsidP="0088744B">
      <w:pPr>
        <w:pStyle w:val="Standard"/>
        <w:jc w:val="both"/>
      </w:pPr>
    </w:p>
    <w:p w14:paraId="3EE1185A" w14:textId="77777777" w:rsidR="00CC16DC" w:rsidRPr="00912155" w:rsidRDefault="00CC16DC" w:rsidP="00CC16DC">
      <w:pPr>
        <w:pStyle w:val="Standard"/>
        <w:jc w:val="both"/>
        <w:rPr>
          <w:bCs/>
          <w:color w:val="595959" w:themeColor="text1" w:themeTint="A6"/>
          <w:sz w:val="24"/>
          <w:szCs w:val="24"/>
        </w:rPr>
      </w:pPr>
      <w:r w:rsidRPr="00912155">
        <w:rPr>
          <w:bCs/>
          <w:color w:val="595959" w:themeColor="text1" w:themeTint="A6"/>
          <w:sz w:val="24"/>
          <w:szCs w:val="24"/>
        </w:rPr>
        <w:t xml:space="preserve">Members agreed with this initiative. </w:t>
      </w:r>
    </w:p>
    <w:p w14:paraId="5C7006E4" w14:textId="77777777" w:rsidR="0088744B" w:rsidRPr="0083715A" w:rsidRDefault="0088744B" w:rsidP="0088744B">
      <w:pPr>
        <w:pStyle w:val="Standard"/>
        <w:jc w:val="both"/>
        <w:rPr>
          <w:bCs/>
          <w:color w:val="595959" w:themeColor="text1" w:themeTint="A6"/>
          <w:sz w:val="24"/>
          <w:szCs w:val="24"/>
        </w:rPr>
      </w:pPr>
    </w:p>
    <w:p w14:paraId="50C53CA2" w14:textId="77777777" w:rsidR="0088744B" w:rsidRPr="009663E1" w:rsidRDefault="0088744B" w:rsidP="0088744B">
      <w:pPr>
        <w:pStyle w:val="Standard"/>
        <w:rPr>
          <w:b/>
          <w:bCs/>
          <w:color w:val="595959" w:themeColor="text1" w:themeTint="A6"/>
          <w:sz w:val="24"/>
          <w:szCs w:val="24"/>
        </w:rPr>
      </w:pPr>
    </w:p>
    <w:p w14:paraId="39B3EA98" w14:textId="77777777" w:rsidR="0031747C" w:rsidRDefault="0031747C"/>
    <w:sectPr w:rsidR="0031747C" w:rsidSect="001F0C10">
      <w:headerReference w:type="default" r:id="rId8"/>
      <w:footerReference w:type="default" r:id="rId9"/>
      <w:pgSz w:w="11906" w:h="16838"/>
      <w:pgMar w:top="1440" w:right="1440" w:bottom="1440" w:left="1440" w:header="142"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374CD" w14:textId="77777777" w:rsidR="00343BAB" w:rsidRDefault="00343BAB" w:rsidP="001F0C10">
      <w:pPr>
        <w:spacing w:after="0" w:line="240" w:lineRule="auto"/>
      </w:pPr>
      <w:r>
        <w:separator/>
      </w:r>
    </w:p>
  </w:endnote>
  <w:endnote w:type="continuationSeparator" w:id="0">
    <w:p w14:paraId="601364DC" w14:textId="77777777" w:rsidR="00343BAB" w:rsidRDefault="00343BAB" w:rsidP="001F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30EBA" w14:textId="77777777" w:rsidR="001F0C10" w:rsidRDefault="001F0C10" w:rsidP="001F0C10">
    <w:pPr>
      <w:pStyle w:val="Piedepgina"/>
      <w:jc w:val="center"/>
    </w:pPr>
  </w:p>
  <w:p w14:paraId="3EE8E2F7" w14:textId="77777777" w:rsidR="001F0C10" w:rsidRPr="00806137" w:rsidRDefault="001F0C10" w:rsidP="001F0C10">
    <w:pPr>
      <w:pStyle w:val="Piedepgina"/>
      <w:shd w:val="clear" w:color="auto" w:fill="06C5CA"/>
      <w:jc w:val="center"/>
      <w:rPr>
        <w:rFonts w:cstheme="minorHAnsi"/>
        <w:sz w:val="20"/>
        <w:lang w:val="en-US"/>
      </w:rPr>
    </w:pPr>
    <w:r w:rsidRPr="00806137">
      <w:rPr>
        <w:rFonts w:cstheme="minorHAnsi"/>
        <w:sz w:val="20"/>
        <w:lang w:val="en-US"/>
      </w:rPr>
      <w:t>Market Advisory Council</w:t>
    </w:r>
  </w:p>
  <w:p w14:paraId="0757FF11" w14:textId="77777777" w:rsidR="001F0C10" w:rsidRPr="00806137" w:rsidRDefault="001F0C10" w:rsidP="001F0C10">
    <w:pPr>
      <w:pStyle w:val="Piedepgina"/>
      <w:shd w:val="clear" w:color="auto" w:fill="06C5CA"/>
      <w:jc w:val="center"/>
      <w:rPr>
        <w:rFonts w:cstheme="minorHAnsi"/>
        <w:sz w:val="20"/>
        <w:lang w:val="fr-BE"/>
      </w:rPr>
    </w:pPr>
    <w:r w:rsidRPr="00806137">
      <w:rPr>
        <w:rFonts w:cstheme="minorHAnsi"/>
        <w:sz w:val="20"/>
        <w:lang w:val="fr-BE"/>
      </w:rPr>
      <w:t>Rue de la Science 10, 1000 Brussels, Belgium</w:t>
    </w:r>
  </w:p>
  <w:p w14:paraId="55E0E0C7" w14:textId="77777777" w:rsidR="001F0C10" w:rsidRPr="00806137" w:rsidRDefault="00343BAB" w:rsidP="001F0C10">
    <w:pPr>
      <w:pStyle w:val="Piedepgina"/>
      <w:shd w:val="clear" w:color="auto" w:fill="06C5CA"/>
      <w:jc w:val="center"/>
      <w:rPr>
        <w:rFonts w:cstheme="minorHAnsi"/>
        <w:sz w:val="20"/>
        <w:lang w:val="fr-BE"/>
      </w:rPr>
    </w:pPr>
    <w:hyperlink r:id="rId1" w:history="1">
      <w:r w:rsidR="001F0C10" w:rsidRPr="00806137">
        <w:rPr>
          <w:rStyle w:val="Hipervnculo"/>
          <w:rFonts w:cstheme="minorHAnsi"/>
          <w:lang w:val="fr-BE"/>
        </w:rPr>
        <w:t>secretary@marketac.eu</w:t>
      </w:r>
    </w:hyperlink>
  </w:p>
  <w:p w14:paraId="2F1C1593" w14:textId="77777777" w:rsidR="001F0C10" w:rsidRPr="00804E34" w:rsidRDefault="001F0C10" w:rsidP="001F0C10">
    <w:pPr>
      <w:pStyle w:val="Piedepgina"/>
      <w:shd w:val="clear" w:color="auto" w:fill="06C5CA"/>
      <w:jc w:val="center"/>
      <w:rPr>
        <w:rFonts w:cstheme="minorHAnsi"/>
        <w:sz w:val="20"/>
        <w:lang w:val="fr-BE"/>
      </w:rPr>
    </w:pPr>
    <w:r w:rsidRPr="00806137">
      <w:rPr>
        <w:rFonts w:cstheme="minorHAnsi"/>
        <w:sz w:val="20"/>
        <w:lang w:val="fr-BE"/>
      </w:rPr>
      <w:t>T: +32(0)2 230 30 70</w:t>
    </w:r>
  </w:p>
  <w:p w14:paraId="48983A9F" w14:textId="77777777" w:rsidR="001F0C10" w:rsidRDefault="001F0C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0DA87" w14:textId="77777777" w:rsidR="00343BAB" w:rsidRDefault="00343BAB" w:rsidP="001F0C10">
      <w:pPr>
        <w:spacing w:after="0" w:line="240" w:lineRule="auto"/>
      </w:pPr>
      <w:r>
        <w:separator/>
      </w:r>
    </w:p>
  </w:footnote>
  <w:footnote w:type="continuationSeparator" w:id="0">
    <w:p w14:paraId="3A8CEF29" w14:textId="77777777" w:rsidR="00343BAB" w:rsidRDefault="00343BAB" w:rsidP="001F0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D5890" w14:textId="35C3E82B" w:rsidR="001F0C10" w:rsidRDefault="001F0C10" w:rsidP="001F0C10">
    <w:pPr>
      <w:pStyle w:val="Encabezado"/>
      <w:jc w:val="center"/>
    </w:pPr>
    <w:r>
      <w:rPr>
        <w:noProof/>
        <w:lang w:val="es-ES" w:eastAsia="es-ES"/>
      </w:rPr>
      <w:drawing>
        <wp:inline distT="0" distB="0" distL="0" distR="0" wp14:anchorId="37AE80BB" wp14:editId="5F0913B5">
          <wp:extent cx="2017167" cy="1304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2027129" cy="13113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B9A"/>
    <w:multiLevelType w:val="hybridMultilevel"/>
    <w:tmpl w:val="A148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532A04"/>
    <w:multiLevelType w:val="hybridMultilevel"/>
    <w:tmpl w:val="F4F4D1DE"/>
    <w:lvl w:ilvl="0" w:tplc="B01E1A78">
      <w:numFmt w:val="bullet"/>
      <w:lvlText w:val="-"/>
      <w:lvlJc w:val="left"/>
      <w:pPr>
        <w:ind w:left="1080" w:hanging="360"/>
      </w:pPr>
      <w:rPr>
        <w:rFonts w:ascii="Calibri" w:eastAsia="SimSu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4B"/>
    <w:rsid w:val="00046E16"/>
    <w:rsid w:val="000800E9"/>
    <w:rsid w:val="001F0C10"/>
    <w:rsid w:val="00274658"/>
    <w:rsid w:val="0031747C"/>
    <w:rsid w:val="003350FF"/>
    <w:rsid w:val="00343BAB"/>
    <w:rsid w:val="003F226D"/>
    <w:rsid w:val="004776D3"/>
    <w:rsid w:val="004B39C2"/>
    <w:rsid w:val="004B5C57"/>
    <w:rsid w:val="004F179C"/>
    <w:rsid w:val="00561C09"/>
    <w:rsid w:val="00587D0A"/>
    <w:rsid w:val="005C74A6"/>
    <w:rsid w:val="005D55A5"/>
    <w:rsid w:val="006C05D5"/>
    <w:rsid w:val="0088744B"/>
    <w:rsid w:val="008E1A5E"/>
    <w:rsid w:val="0097246E"/>
    <w:rsid w:val="009C7248"/>
    <w:rsid w:val="009E19D3"/>
    <w:rsid w:val="009F3768"/>
    <w:rsid w:val="00A076B5"/>
    <w:rsid w:val="00A64C5E"/>
    <w:rsid w:val="00AE2305"/>
    <w:rsid w:val="00C16D42"/>
    <w:rsid w:val="00CB3438"/>
    <w:rsid w:val="00CC16DC"/>
    <w:rsid w:val="00D007C0"/>
    <w:rsid w:val="00D5227D"/>
    <w:rsid w:val="00ED7083"/>
    <w:rsid w:val="00EF1316"/>
    <w:rsid w:val="00F03680"/>
    <w:rsid w:val="00F05D51"/>
    <w:rsid w:val="00F10C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2E384A"/>
  <w15:docId w15:val="{407BDD01-0B31-4AC3-9706-C0D40825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88744B"/>
    <w:pPr>
      <w:suppressAutoHyphens/>
      <w:autoSpaceDN w:val="0"/>
      <w:spacing w:after="0" w:line="240" w:lineRule="auto"/>
      <w:textAlignment w:val="baseline"/>
    </w:pPr>
    <w:rPr>
      <w:rFonts w:ascii="Calibri" w:eastAsia="SimSun" w:hAnsi="Calibri" w:cs="Times New Roman"/>
      <w:color w:val="00000A"/>
      <w:kern w:val="3"/>
      <w:lang w:eastAsia="en-GB"/>
    </w:rPr>
  </w:style>
  <w:style w:type="character" w:styleId="Refdecomentario">
    <w:name w:val="annotation reference"/>
    <w:basedOn w:val="Fuentedeprrafopredeter"/>
    <w:uiPriority w:val="99"/>
    <w:semiHidden/>
    <w:unhideWhenUsed/>
    <w:rsid w:val="0088744B"/>
    <w:rPr>
      <w:sz w:val="16"/>
      <w:szCs w:val="16"/>
    </w:rPr>
  </w:style>
  <w:style w:type="paragraph" w:styleId="Textocomentario">
    <w:name w:val="annotation text"/>
    <w:basedOn w:val="Normal"/>
    <w:link w:val="TextocomentarioCar"/>
    <w:uiPriority w:val="99"/>
    <w:semiHidden/>
    <w:unhideWhenUsed/>
    <w:rsid w:val="0088744B"/>
    <w:pPr>
      <w:widowControl w:val="0"/>
      <w:suppressAutoHyphens/>
      <w:autoSpaceDN w:val="0"/>
      <w:spacing w:after="0" w:line="240" w:lineRule="auto"/>
      <w:textAlignment w:val="baseline"/>
    </w:pPr>
    <w:rPr>
      <w:rFonts w:ascii="Cambria" w:eastAsia="SimSun" w:hAnsi="Cambria" w:cs="F"/>
      <w:color w:val="112845"/>
      <w:kern w:val="3"/>
      <w:sz w:val="20"/>
      <w:szCs w:val="20"/>
      <w:lang w:val="fr-FR"/>
    </w:rPr>
  </w:style>
  <w:style w:type="character" w:customStyle="1" w:styleId="TextocomentarioCar">
    <w:name w:val="Texto comentario Car"/>
    <w:basedOn w:val="Fuentedeprrafopredeter"/>
    <w:link w:val="Textocomentario"/>
    <w:uiPriority w:val="99"/>
    <w:semiHidden/>
    <w:rsid w:val="0088744B"/>
    <w:rPr>
      <w:rFonts w:ascii="Cambria" w:eastAsia="SimSun" w:hAnsi="Cambria" w:cs="F"/>
      <w:color w:val="112845"/>
      <w:kern w:val="3"/>
      <w:sz w:val="20"/>
      <w:szCs w:val="20"/>
      <w:lang w:val="fr-FR"/>
    </w:rPr>
  </w:style>
  <w:style w:type="paragraph" w:styleId="Textodeglobo">
    <w:name w:val="Balloon Text"/>
    <w:basedOn w:val="Normal"/>
    <w:link w:val="TextodegloboCar"/>
    <w:uiPriority w:val="99"/>
    <w:semiHidden/>
    <w:unhideWhenUsed/>
    <w:rsid w:val="008874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744B"/>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4F179C"/>
    <w:pPr>
      <w:widowControl/>
      <w:suppressAutoHyphens w:val="0"/>
      <w:autoSpaceDN/>
      <w:spacing w:after="200"/>
      <w:textAlignment w:val="auto"/>
    </w:pPr>
    <w:rPr>
      <w:rFonts w:asciiTheme="minorHAnsi" w:eastAsiaTheme="minorHAnsi" w:hAnsiTheme="minorHAnsi" w:cstheme="minorBidi"/>
      <w:b/>
      <w:bCs/>
      <w:color w:val="auto"/>
      <w:kern w:val="0"/>
      <w:lang w:val="en-GB"/>
    </w:rPr>
  </w:style>
  <w:style w:type="character" w:customStyle="1" w:styleId="AsuntodelcomentarioCar">
    <w:name w:val="Asunto del comentario Car"/>
    <w:basedOn w:val="TextocomentarioCar"/>
    <w:link w:val="Asuntodelcomentario"/>
    <w:uiPriority w:val="99"/>
    <w:semiHidden/>
    <w:rsid w:val="004F179C"/>
    <w:rPr>
      <w:rFonts w:ascii="Cambria" w:eastAsia="SimSun" w:hAnsi="Cambria" w:cs="F"/>
      <w:b/>
      <w:bCs/>
      <w:color w:val="112845"/>
      <w:kern w:val="3"/>
      <w:sz w:val="20"/>
      <w:szCs w:val="20"/>
      <w:lang w:val="fr-FR"/>
    </w:rPr>
  </w:style>
  <w:style w:type="paragraph" w:styleId="Encabezado">
    <w:name w:val="header"/>
    <w:basedOn w:val="Normal"/>
    <w:link w:val="EncabezadoCar"/>
    <w:uiPriority w:val="99"/>
    <w:unhideWhenUsed/>
    <w:rsid w:val="001F0C1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0C10"/>
  </w:style>
  <w:style w:type="paragraph" w:styleId="Piedepgina">
    <w:name w:val="footer"/>
    <w:basedOn w:val="Normal"/>
    <w:link w:val="PiedepginaCar"/>
    <w:uiPriority w:val="99"/>
    <w:unhideWhenUsed/>
    <w:rsid w:val="001F0C1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0C10"/>
  </w:style>
  <w:style w:type="character" w:styleId="Hipervnculo">
    <w:name w:val="Hyperlink"/>
    <w:basedOn w:val="Fuentedeprrafopredeter"/>
    <w:uiPriority w:val="99"/>
    <w:unhideWhenUsed/>
    <w:rsid w:val="001F0C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y@marketac.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2CE6-4AC5-400F-A094-25AE2CA9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3146</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Alexandre Rodriguez</cp:lastModifiedBy>
  <cp:revision>2</cp:revision>
  <cp:lastPrinted>2018-02-22T08:31:00Z</cp:lastPrinted>
  <dcterms:created xsi:type="dcterms:W3CDTF">2018-03-20T12:45:00Z</dcterms:created>
  <dcterms:modified xsi:type="dcterms:W3CDTF">2018-03-20T12:45:00Z</dcterms:modified>
</cp:coreProperties>
</file>